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15" w:rsidRDefault="00C05600" w:rsidP="00547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Item RC 16</w:t>
      </w:r>
      <w:r w:rsidR="00547F32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  <w:r w:rsidR="00547F32">
        <w:rPr>
          <w:b/>
          <w:sz w:val="28"/>
          <w:szCs w:val="28"/>
        </w:rPr>
        <w:t>-</w:t>
      </w:r>
    </w:p>
    <w:p w:rsidR="006120BB" w:rsidRDefault="00B63F6E" w:rsidP="009F773B">
      <w:pPr>
        <w:jc w:val="center"/>
        <w:rPr>
          <w:b/>
          <w:sz w:val="28"/>
          <w:szCs w:val="28"/>
        </w:rPr>
      </w:pPr>
      <w:r w:rsidRPr="00FF49B4">
        <w:rPr>
          <w:b/>
          <w:sz w:val="28"/>
          <w:szCs w:val="28"/>
        </w:rPr>
        <w:t>Accrington &amp; Rossendale College</w:t>
      </w:r>
      <w:r w:rsidR="009F773B" w:rsidRPr="00FF49B4">
        <w:rPr>
          <w:b/>
          <w:sz w:val="28"/>
          <w:szCs w:val="28"/>
        </w:rPr>
        <w:t xml:space="preserve"> </w:t>
      </w:r>
    </w:p>
    <w:p w:rsidR="00670322" w:rsidRDefault="00B63F6E" w:rsidP="00670322">
      <w:pPr>
        <w:jc w:val="center"/>
        <w:rPr>
          <w:b/>
          <w:sz w:val="28"/>
          <w:szCs w:val="28"/>
        </w:rPr>
      </w:pPr>
      <w:r w:rsidRPr="00FF49B4">
        <w:rPr>
          <w:b/>
          <w:sz w:val="28"/>
          <w:szCs w:val="28"/>
        </w:rPr>
        <w:t>Tuition</w:t>
      </w:r>
      <w:r w:rsidR="007F5484" w:rsidRPr="00FF49B4">
        <w:rPr>
          <w:b/>
          <w:sz w:val="28"/>
          <w:szCs w:val="28"/>
        </w:rPr>
        <w:t xml:space="preserve"> Fee</w:t>
      </w:r>
      <w:r w:rsidRPr="00FF49B4">
        <w:rPr>
          <w:b/>
          <w:sz w:val="28"/>
          <w:szCs w:val="28"/>
        </w:rPr>
        <w:t xml:space="preserve"> </w:t>
      </w:r>
      <w:r w:rsidR="0082749E" w:rsidRPr="00E00945">
        <w:rPr>
          <w:b/>
          <w:sz w:val="28"/>
          <w:szCs w:val="28"/>
        </w:rPr>
        <w:t>Stra</w:t>
      </w:r>
      <w:r w:rsidRPr="00E00945">
        <w:rPr>
          <w:b/>
          <w:sz w:val="28"/>
          <w:szCs w:val="28"/>
        </w:rPr>
        <w:t>tegy 201</w:t>
      </w:r>
      <w:r w:rsidR="00C05600">
        <w:rPr>
          <w:b/>
          <w:sz w:val="28"/>
          <w:szCs w:val="28"/>
        </w:rPr>
        <w:t>7/18</w:t>
      </w:r>
    </w:p>
    <w:p w:rsidR="008E5552" w:rsidRDefault="006120BB" w:rsidP="009F773B">
      <w:pPr>
        <w:jc w:val="center"/>
        <w:rPr>
          <w:b/>
          <w:sz w:val="28"/>
          <w:szCs w:val="28"/>
        </w:rPr>
      </w:pPr>
      <w:r w:rsidRPr="006120BB">
        <w:rPr>
          <w:b/>
          <w:sz w:val="28"/>
          <w:szCs w:val="28"/>
        </w:rPr>
        <w:t xml:space="preserve"> </w:t>
      </w:r>
      <w:r w:rsidRPr="00FF49B4">
        <w:rPr>
          <w:b/>
          <w:sz w:val="28"/>
          <w:szCs w:val="28"/>
        </w:rPr>
        <w:t>Further Education</w:t>
      </w:r>
      <w:r w:rsidR="00B66239">
        <w:rPr>
          <w:b/>
          <w:sz w:val="28"/>
          <w:szCs w:val="28"/>
        </w:rPr>
        <w:t xml:space="preserve"> Provision</w:t>
      </w:r>
    </w:p>
    <w:p w:rsidR="00257E73" w:rsidRPr="003C3970" w:rsidRDefault="00257E73" w:rsidP="00992015">
      <w:pPr>
        <w:pStyle w:val="Heading1"/>
        <w:numPr>
          <w:ilvl w:val="0"/>
          <w:numId w:val="18"/>
        </w:numPr>
      </w:pPr>
      <w:r w:rsidRPr="003C3970">
        <w:t>Introduction</w:t>
      </w:r>
    </w:p>
    <w:p w:rsidR="00257E73" w:rsidRPr="00B66239" w:rsidRDefault="00257E73" w:rsidP="00992015">
      <w:p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 xml:space="preserve">The college revises its </w:t>
      </w:r>
      <w:r w:rsidR="008C4F1E" w:rsidRPr="00B66239">
        <w:rPr>
          <w:sz w:val="21"/>
          <w:szCs w:val="21"/>
        </w:rPr>
        <w:t>fee strategy for F</w:t>
      </w:r>
      <w:r w:rsidR="004F1AD4">
        <w:rPr>
          <w:sz w:val="21"/>
          <w:szCs w:val="21"/>
        </w:rPr>
        <w:t>urther Education provision</w:t>
      </w:r>
      <w:r w:rsidR="008C4F1E" w:rsidRPr="00B66239">
        <w:rPr>
          <w:sz w:val="21"/>
          <w:szCs w:val="21"/>
        </w:rPr>
        <w:t xml:space="preserve"> </w:t>
      </w:r>
      <w:r w:rsidR="00503051" w:rsidRPr="00B66239">
        <w:rPr>
          <w:sz w:val="21"/>
          <w:szCs w:val="21"/>
        </w:rPr>
        <w:t>annually</w:t>
      </w:r>
      <w:r w:rsidRPr="00B66239">
        <w:rPr>
          <w:sz w:val="21"/>
          <w:szCs w:val="21"/>
        </w:rPr>
        <w:t xml:space="preserve">. </w:t>
      </w:r>
      <w:r w:rsidR="005F6C8F">
        <w:rPr>
          <w:sz w:val="21"/>
          <w:szCs w:val="21"/>
        </w:rPr>
        <w:t>The objectives</w:t>
      </w:r>
      <w:r w:rsidR="00040694" w:rsidRPr="00B66239">
        <w:rPr>
          <w:sz w:val="21"/>
          <w:szCs w:val="21"/>
        </w:rPr>
        <w:t xml:space="preserve"> of the strategy are</w:t>
      </w:r>
      <w:r w:rsidR="008C4F1E" w:rsidRPr="00B66239">
        <w:rPr>
          <w:sz w:val="21"/>
          <w:szCs w:val="21"/>
        </w:rPr>
        <w:t xml:space="preserve"> to ensure:</w:t>
      </w:r>
    </w:p>
    <w:p w:rsidR="008C4F1E" w:rsidRPr="00B66239" w:rsidRDefault="008C4F1E" w:rsidP="00992015">
      <w:pPr>
        <w:pStyle w:val="ListParagraph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>We can compete effectively with other providers</w:t>
      </w:r>
    </w:p>
    <w:p w:rsidR="00040694" w:rsidRPr="00B66239" w:rsidRDefault="00040694" w:rsidP="00992015">
      <w:pPr>
        <w:pStyle w:val="ListParagraph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 xml:space="preserve">We can increase our market share </w:t>
      </w:r>
    </w:p>
    <w:p w:rsidR="00040694" w:rsidRPr="00B66239" w:rsidRDefault="00040694" w:rsidP="00992015">
      <w:pPr>
        <w:pStyle w:val="ListParagraph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 xml:space="preserve">We can maximise overall fee income </w:t>
      </w:r>
    </w:p>
    <w:p w:rsidR="00040694" w:rsidRDefault="00040694" w:rsidP="00992015">
      <w:pPr>
        <w:pStyle w:val="ListParagraph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>We can maintain accessibility to education for our learners</w:t>
      </w:r>
    </w:p>
    <w:p w:rsidR="004B5EA9" w:rsidRDefault="004B5EA9" w:rsidP="004B5EA9">
      <w:pPr>
        <w:pStyle w:val="ListParagraph"/>
        <w:spacing w:after="0"/>
        <w:jc w:val="both"/>
        <w:rPr>
          <w:sz w:val="21"/>
          <w:szCs w:val="21"/>
        </w:rPr>
      </w:pPr>
    </w:p>
    <w:p w:rsidR="005F6C8F" w:rsidRPr="001C71A9" w:rsidRDefault="005F6C8F" w:rsidP="00992015">
      <w:pPr>
        <w:spacing w:after="0"/>
        <w:jc w:val="both"/>
        <w:rPr>
          <w:sz w:val="21"/>
          <w:szCs w:val="21"/>
        </w:rPr>
      </w:pPr>
      <w:r w:rsidRPr="001C71A9">
        <w:rPr>
          <w:sz w:val="21"/>
          <w:szCs w:val="21"/>
        </w:rPr>
        <w:t>These objectives support the following college strategic aims:</w:t>
      </w:r>
    </w:p>
    <w:p w:rsidR="005F6C8F" w:rsidRPr="001C71A9" w:rsidRDefault="005F6C8F" w:rsidP="00992015">
      <w:pPr>
        <w:numPr>
          <w:ilvl w:val="0"/>
          <w:numId w:val="15"/>
        </w:numPr>
        <w:spacing w:after="0"/>
        <w:jc w:val="both"/>
        <w:rPr>
          <w:sz w:val="21"/>
          <w:szCs w:val="21"/>
        </w:rPr>
      </w:pPr>
      <w:r w:rsidRPr="001C71A9">
        <w:rPr>
          <w:sz w:val="21"/>
          <w:szCs w:val="21"/>
        </w:rPr>
        <w:t xml:space="preserve">To </w:t>
      </w:r>
      <w:r w:rsidR="00E00945">
        <w:rPr>
          <w:sz w:val="21"/>
          <w:szCs w:val="21"/>
        </w:rPr>
        <w:t>maintain</w:t>
      </w:r>
      <w:r w:rsidRPr="001C71A9">
        <w:rPr>
          <w:sz w:val="21"/>
          <w:szCs w:val="21"/>
        </w:rPr>
        <w:t xml:space="preserve"> financial stability</w:t>
      </w:r>
    </w:p>
    <w:p w:rsidR="005F6C8F" w:rsidRDefault="005F6C8F" w:rsidP="00992015">
      <w:pPr>
        <w:numPr>
          <w:ilvl w:val="0"/>
          <w:numId w:val="15"/>
        </w:numPr>
        <w:spacing w:after="0"/>
        <w:jc w:val="both"/>
        <w:rPr>
          <w:sz w:val="21"/>
          <w:szCs w:val="21"/>
        </w:rPr>
      </w:pPr>
      <w:r w:rsidRPr="001C71A9">
        <w:rPr>
          <w:sz w:val="21"/>
          <w:szCs w:val="21"/>
        </w:rPr>
        <w:t>To increase participation from our community and add value, economically and socially</w:t>
      </w:r>
    </w:p>
    <w:p w:rsidR="004E5B6B" w:rsidRPr="001C71A9" w:rsidRDefault="004E5B6B" w:rsidP="00992015">
      <w:pPr>
        <w:spacing w:after="0"/>
        <w:ind w:left="720"/>
        <w:jc w:val="both"/>
        <w:rPr>
          <w:sz w:val="21"/>
          <w:szCs w:val="21"/>
        </w:rPr>
      </w:pPr>
    </w:p>
    <w:p w:rsidR="005F0CA8" w:rsidRDefault="00040694" w:rsidP="0099201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B66239">
        <w:rPr>
          <w:sz w:val="21"/>
          <w:szCs w:val="21"/>
        </w:rPr>
        <w:t>In the current environment, there is a need to be more</w:t>
      </w:r>
      <w:r w:rsidR="00DC50EE" w:rsidRPr="00B66239">
        <w:rPr>
          <w:sz w:val="21"/>
          <w:szCs w:val="21"/>
        </w:rPr>
        <w:t xml:space="preserve"> commercially aware and driven </w:t>
      </w:r>
      <w:r w:rsidRPr="00B66239">
        <w:rPr>
          <w:sz w:val="21"/>
          <w:szCs w:val="21"/>
        </w:rPr>
        <w:t>and develop our understanding of changing markets.</w:t>
      </w:r>
      <w:r w:rsidR="00193119" w:rsidRPr="00193119">
        <w:rPr>
          <w:sz w:val="21"/>
          <w:szCs w:val="21"/>
        </w:rPr>
        <w:t xml:space="preserve">  In </w:t>
      </w:r>
      <w:r w:rsidRPr="00193119">
        <w:rPr>
          <w:sz w:val="21"/>
          <w:szCs w:val="21"/>
        </w:rPr>
        <w:t xml:space="preserve">order to achieve </w:t>
      </w:r>
      <w:r w:rsidR="00193119" w:rsidRPr="00193119">
        <w:rPr>
          <w:sz w:val="21"/>
          <w:szCs w:val="21"/>
        </w:rPr>
        <w:t>our</w:t>
      </w:r>
      <w:r w:rsidRPr="00B66239">
        <w:rPr>
          <w:sz w:val="21"/>
          <w:szCs w:val="21"/>
        </w:rPr>
        <w:t xml:space="preserve"> aims</w:t>
      </w:r>
      <w:r w:rsidR="00BD5910" w:rsidRPr="00B66239">
        <w:rPr>
          <w:sz w:val="21"/>
          <w:szCs w:val="21"/>
        </w:rPr>
        <w:t>,</w:t>
      </w:r>
      <w:r w:rsidRPr="00B66239">
        <w:rPr>
          <w:sz w:val="21"/>
          <w:szCs w:val="21"/>
        </w:rPr>
        <w:t xml:space="preserve"> we need to establish a framework with clear guidelines</w:t>
      </w:r>
      <w:r w:rsidR="00193119">
        <w:rPr>
          <w:sz w:val="21"/>
          <w:szCs w:val="21"/>
        </w:rPr>
        <w:t>,</w:t>
      </w:r>
      <w:r w:rsidRPr="00B66239">
        <w:rPr>
          <w:sz w:val="21"/>
          <w:szCs w:val="21"/>
        </w:rPr>
        <w:t xml:space="preserve"> outlining the general fees pricing policy of the college, whilst allowing the flexibility to be proactive and reactive to any changes in market conditions.</w:t>
      </w:r>
    </w:p>
    <w:p w:rsidR="004F1AD4" w:rsidRDefault="004F1AD4" w:rsidP="0099201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4F1AD4" w:rsidRPr="00B66239" w:rsidRDefault="004F1AD4" w:rsidP="0099201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separate strategy exists in respect of fees charged for Higher Education provision </w:t>
      </w:r>
    </w:p>
    <w:p w:rsidR="00257E73" w:rsidRDefault="004E5B6B" w:rsidP="00992015">
      <w:pPr>
        <w:pStyle w:val="Heading1"/>
        <w:numPr>
          <w:ilvl w:val="0"/>
          <w:numId w:val="18"/>
        </w:numPr>
      </w:pPr>
      <w:r>
        <w:t>Summary</w:t>
      </w:r>
      <w:r w:rsidR="0000709E" w:rsidRPr="00B66239">
        <w:t>:</w:t>
      </w:r>
    </w:p>
    <w:p w:rsidR="00E31052" w:rsidRDefault="00E31052" w:rsidP="00992015">
      <w:pPr>
        <w:spacing w:after="0" w:line="240" w:lineRule="auto"/>
        <w:rPr>
          <w:sz w:val="21"/>
          <w:szCs w:val="21"/>
        </w:rPr>
      </w:pPr>
      <w:r w:rsidRPr="00F90887">
        <w:rPr>
          <w:sz w:val="21"/>
          <w:szCs w:val="21"/>
        </w:rPr>
        <w:t xml:space="preserve">This information may change as the funding rules are updated and amended, </w:t>
      </w:r>
      <w:r w:rsidR="00992015">
        <w:rPr>
          <w:sz w:val="21"/>
          <w:szCs w:val="21"/>
        </w:rPr>
        <w:t>however it</w:t>
      </w:r>
      <w:r w:rsidRPr="00F90887">
        <w:rPr>
          <w:sz w:val="21"/>
          <w:szCs w:val="21"/>
        </w:rPr>
        <w:t xml:space="preserve"> is not expected to change significantly</w:t>
      </w:r>
      <w:r w:rsidR="001827E3">
        <w:rPr>
          <w:sz w:val="21"/>
          <w:szCs w:val="21"/>
        </w:rPr>
        <w:t>.  The funding matrix (appendix 1) will be updated when the 201</w:t>
      </w:r>
      <w:r w:rsidR="00C05600">
        <w:rPr>
          <w:sz w:val="21"/>
          <w:szCs w:val="21"/>
        </w:rPr>
        <w:t>7</w:t>
      </w:r>
      <w:r w:rsidR="001827E3">
        <w:rPr>
          <w:sz w:val="21"/>
          <w:szCs w:val="21"/>
        </w:rPr>
        <w:t>/1</w:t>
      </w:r>
      <w:r w:rsidR="00C05600">
        <w:rPr>
          <w:sz w:val="21"/>
          <w:szCs w:val="21"/>
        </w:rPr>
        <w:t>8</w:t>
      </w:r>
      <w:r w:rsidR="001827E3">
        <w:rPr>
          <w:sz w:val="21"/>
          <w:szCs w:val="21"/>
        </w:rPr>
        <w:t xml:space="preserve"> Funding Guidance is published. </w:t>
      </w:r>
    </w:p>
    <w:p w:rsidR="00E31052" w:rsidRDefault="00E31052" w:rsidP="00992015">
      <w:pPr>
        <w:spacing w:after="0" w:line="240" w:lineRule="auto"/>
        <w:rPr>
          <w:sz w:val="21"/>
          <w:szCs w:val="21"/>
        </w:rPr>
      </w:pPr>
    </w:p>
    <w:p w:rsidR="00E31052" w:rsidRDefault="00E31052" w:rsidP="00992015">
      <w:pPr>
        <w:spacing w:after="0" w:line="240" w:lineRule="auto"/>
        <w:rPr>
          <w:rFonts w:cs="Arial"/>
          <w:sz w:val="21"/>
          <w:szCs w:val="21"/>
        </w:rPr>
      </w:pPr>
      <w:r w:rsidRPr="00777F21">
        <w:rPr>
          <w:sz w:val="21"/>
          <w:szCs w:val="21"/>
        </w:rPr>
        <w:t>The funding rules issued by the</w:t>
      </w:r>
      <w:r w:rsidR="00F435F9">
        <w:rPr>
          <w:sz w:val="21"/>
          <w:szCs w:val="21"/>
        </w:rPr>
        <w:t xml:space="preserve"> Education &amp;</w:t>
      </w:r>
      <w:r w:rsidRPr="00777F21">
        <w:rPr>
          <w:sz w:val="21"/>
          <w:szCs w:val="21"/>
        </w:rPr>
        <w:t xml:space="preserve"> Skills Funding Agency </w:t>
      </w:r>
      <w:r w:rsidR="00F435F9">
        <w:rPr>
          <w:sz w:val="21"/>
          <w:szCs w:val="21"/>
        </w:rPr>
        <w:t>(ESFA)</w:t>
      </w:r>
      <w:r w:rsidRPr="00777F21">
        <w:rPr>
          <w:sz w:val="21"/>
          <w:szCs w:val="21"/>
        </w:rPr>
        <w:t>confirm that where a learner is f</w:t>
      </w:r>
      <w:r>
        <w:rPr>
          <w:sz w:val="21"/>
          <w:szCs w:val="21"/>
        </w:rPr>
        <w:t>ully funded by the agency, the C</w:t>
      </w:r>
      <w:r w:rsidRPr="00777F21">
        <w:rPr>
          <w:sz w:val="21"/>
          <w:szCs w:val="21"/>
        </w:rPr>
        <w:t>ollege must not make compulsory charges relating to the direct costs of delivering a learning aim. This would include charges for the following:</w:t>
      </w:r>
      <w:r w:rsidRPr="00777F21">
        <w:rPr>
          <w:rFonts w:cs="Arial"/>
          <w:sz w:val="21"/>
          <w:szCs w:val="21"/>
        </w:rPr>
        <w:t xml:space="preserve"> </w:t>
      </w:r>
    </w:p>
    <w:p w:rsidR="00E31052" w:rsidRPr="00777F21" w:rsidRDefault="00E31052" w:rsidP="00992015">
      <w:pPr>
        <w:spacing w:after="0" w:line="240" w:lineRule="auto"/>
        <w:rPr>
          <w:rFonts w:cs="Arial"/>
          <w:sz w:val="21"/>
          <w:szCs w:val="21"/>
        </w:rPr>
      </w:pPr>
    </w:p>
    <w:p w:rsidR="00E31052" w:rsidRPr="00777F21" w:rsidRDefault="00E31052" w:rsidP="00992015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777F21">
        <w:rPr>
          <w:sz w:val="21"/>
          <w:szCs w:val="21"/>
        </w:rPr>
        <w:t>Administration, registration, assessment, materials or examination costs</w:t>
      </w:r>
      <w:r>
        <w:rPr>
          <w:sz w:val="21"/>
          <w:szCs w:val="21"/>
        </w:rPr>
        <w:t xml:space="preserve"> </w:t>
      </w:r>
      <w:r w:rsidRPr="00777F21">
        <w:rPr>
          <w:sz w:val="21"/>
          <w:szCs w:val="21"/>
        </w:rPr>
        <w:t>(where the learner can</w:t>
      </w:r>
      <w:r>
        <w:rPr>
          <w:sz w:val="21"/>
          <w:szCs w:val="21"/>
        </w:rPr>
        <w:t>not</w:t>
      </w:r>
      <w:r w:rsidRPr="00777F21">
        <w:rPr>
          <w:sz w:val="21"/>
          <w:szCs w:val="21"/>
        </w:rPr>
        <w:t xml:space="preserve"> achieve their learning aim without them).</w:t>
      </w:r>
    </w:p>
    <w:p w:rsidR="00992015" w:rsidRDefault="00992015" w:rsidP="00992015">
      <w:pPr>
        <w:spacing w:after="0" w:line="240" w:lineRule="auto"/>
        <w:rPr>
          <w:sz w:val="21"/>
          <w:szCs w:val="21"/>
        </w:rPr>
      </w:pPr>
    </w:p>
    <w:p w:rsidR="00992015" w:rsidRDefault="00E31052" w:rsidP="00992015">
      <w:pPr>
        <w:spacing w:after="0" w:line="240" w:lineRule="auto"/>
        <w:rPr>
          <w:sz w:val="21"/>
          <w:szCs w:val="21"/>
        </w:rPr>
      </w:pPr>
      <w:r w:rsidRPr="00992015">
        <w:rPr>
          <w:sz w:val="21"/>
          <w:szCs w:val="21"/>
        </w:rPr>
        <w:t>It can include charges for</w:t>
      </w:r>
      <w:r w:rsidR="00992015">
        <w:rPr>
          <w:sz w:val="21"/>
          <w:szCs w:val="21"/>
        </w:rPr>
        <w:t xml:space="preserve"> the following:</w:t>
      </w:r>
    </w:p>
    <w:p w:rsidR="00E31052" w:rsidRPr="00992015" w:rsidRDefault="00992015" w:rsidP="00992015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</w:t>
      </w:r>
      <w:r w:rsidR="00E31052" w:rsidRPr="00992015">
        <w:rPr>
          <w:sz w:val="21"/>
          <w:szCs w:val="21"/>
        </w:rPr>
        <w:t>dentification passes, uniforms, tools</w:t>
      </w:r>
      <w:r>
        <w:rPr>
          <w:sz w:val="21"/>
          <w:szCs w:val="21"/>
        </w:rPr>
        <w:t>,</w:t>
      </w:r>
      <w:r w:rsidR="008468F4" w:rsidRPr="00992015">
        <w:rPr>
          <w:sz w:val="21"/>
          <w:szCs w:val="21"/>
        </w:rPr>
        <w:t xml:space="preserve"> t</w:t>
      </w:r>
      <w:r w:rsidR="008468F4" w:rsidRPr="00992015">
        <w:rPr>
          <w:rFonts w:cs="Arial"/>
          <w:sz w:val="21"/>
          <w:szCs w:val="21"/>
        </w:rPr>
        <w:t>rips and visits</w:t>
      </w:r>
      <w:r>
        <w:rPr>
          <w:rFonts w:cs="Arial"/>
          <w:sz w:val="21"/>
          <w:szCs w:val="21"/>
        </w:rPr>
        <w:t xml:space="preserve"> and material costs</w:t>
      </w:r>
      <w:r w:rsidR="008468F4" w:rsidRPr="00992015">
        <w:rPr>
          <w:rFonts w:cs="Arial"/>
          <w:sz w:val="21"/>
          <w:szCs w:val="21"/>
        </w:rPr>
        <w:t xml:space="preserve"> that are not a central part of the curriculum</w:t>
      </w:r>
      <w:r w:rsidR="008468F4" w:rsidRPr="00992015">
        <w:rPr>
          <w:sz w:val="21"/>
          <w:szCs w:val="21"/>
        </w:rPr>
        <w:t xml:space="preserve"> </w:t>
      </w:r>
      <w:r w:rsidR="00E31052" w:rsidRPr="00992015">
        <w:rPr>
          <w:sz w:val="21"/>
          <w:szCs w:val="21"/>
        </w:rPr>
        <w:t>(where the learner can achieve their learning aim without them).</w:t>
      </w:r>
    </w:p>
    <w:p w:rsidR="00E31052" w:rsidRDefault="00E31052" w:rsidP="00992015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</w:p>
    <w:p w:rsidR="00E31052" w:rsidRPr="00F90887" w:rsidRDefault="00F90887" w:rsidP="00992015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 w:rsidRPr="00F90887">
        <w:rPr>
          <w:rFonts w:asciiTheme="minorHAnsi" w:hAnsiTheme="minorHAnsi" w:cstheme="minorBidi"/>
          <w:color w:val="auto"/>
          <w:sz w:val="21"/>
          <w:szCs w:val="21"/>
        </w:rPr>
        <w:t xml:space="preserve">This applies to </w:t>
      </w:r>
      <w:r>
        <w:rPr>
          <w:rFonts w:asciiTheme="minorHAnsi" w:hAnsiTheme="minorHAnsi" w:cstheme="minorBidi"/>
          <w:color w:val="auto"/>
          <w:sz w:val="21"/>
          <w:szCs w:val="21"/>
        </w:rPr>
        <w:t xml:space="preserve">all </w:t>
      </w:r>
      <w:r w:rsidRPr="00F90887">
        <w:rPr>
          <w:rFonts w:asciiTheme="minorHAnsi" w:hAnsiTheme="minorHAnsi" w:cstheme="minorBidi"/>
          <w:color w:val="auto"/>
          <w:sz w:val="21"/>
          <w:szCs w:val="21"/>
        </w:rPr>
        <w:t>l</w:t>
      </w:r>
      <w:r w:rsidR="00E00945" w:rsidRPr="00F90887">
        <w:rPr>
          <w:rFonts w:asciiTheme="minorHAnsi" w:hAnsiTheme="minorHAnsi" w:cstheme="minorBidi"/>
          <w:color w:val="auto"/>
          <w:sz w:val="21"/>
          <w:szCs w:val="21"/>
        </w:rPr>
        <w:t xml:space="preserve">earners aged </w:t>
      </w:r>
      <w:r>
        <w:rPr>
          <w:rFonts w:asciiTheme="minorHAnsi" w:hAnsiTheme="minorHAnsi" w:cstheme="minorBidi"/>
          <w:color w:val="auto"/>
          <w:sz w:val="21"/>
          <w:szCs w:val="21"/>
        </w:rPr>
        <w:t xml:space="preserve">16-18, both </w:t>
      </w:r>
      <w:r w:rsidR="00E00945" w:rsidRPr="00F90887">
        <w:rPr>
          <w:rFonts w:asciiTheme="minorHAnsi" w:hAnsiTheme="minorHAnsi" w:cstheme="minorBidi"/>
          <w:color w:val="auto"/>
          <w:sz w:val="21"/>
          <w:szCs w:val="21"/>
        </w:rPr>
        <w:t>classroom based and apprenticeships</w:t>
      </w:r>
      <w:r w:rsidR="00E31052">
        <w:rPr>
          <w:rFonts w:asciiTheme="minorHAnsi" w:hAnsiTheme="minorHAnsi" w:cstheme="minorBidi"/>
          <w:color w:val="auto"/>
          <w:sz w:val="21"/>
          <w:szCs w:val="21"/>
        </w:rPr>
        <w:t xml:space="preserve"> and certain </w:t>
      </w:r>
      <w:r w:rsidRPr="00F90887">
        <w:rPr>
          <w:rFonts w:asciiTheme="minorHAnsi" w:hAnsiTheme="minorHAnsi" w:cstheme="minorBidi"/>
          <w:color w:val="auto"/>
          <w:sz w:val="21"/>
          <w:szCs w:val="21"/>
        </w:rPr>
        <w:t xml:space="preserve">categories of adult learners that are entitled </w:t>
      </w:r>
      <w:r w:rsidR="004E5B6B">
        <w:rPr>
          <w:rFonts w:asciiTheme="minorHAnsi" w:hAnsiTheme="minorHAnsi" w:cstheme="minorBidi"/>
          <w:color w:val="auto"/>
          <w:sz w:val="21"/>
          <w:szCs w:val="21"/>
        </w:rPr>
        <w:t xml:space="preserve">to </w:t>
      </w:r>
      <w:r w:rsidRPr="00F90887">
        <w:rPr>
          <w:rFonts w:asciiTheme="minorHAnsi" w:hAnsiTheme="minorHAnsi" w:cstheme="minorBidi"/>
          <w:color w:val="auto"/>
          <w:sz w:val="21"/>
          <w:szCs w:val="21"/>
        </w:rPr>
        <w:t>full funding from the funding agencies a</w:t>
      </w:r>
      <w:r w:rsidR="00E31052">
        <w:rPr>
          <w:rFonts w:asciiTheme="minorHAnsi" w:hAnsiTheme="minorHAnsi" w:cstheme="minorBidi"/>
          <w:color w:val="auto"/>
          <w:sz w:val="21"/>
          <w:szCs w:val="21"/>
        </w:rPr>
        <w:t>s</w:t>
      </w:r>
      <w:r w:rsidRPr="00F90887">
        <w:rPr>
          <w:rFonts w:asciiTheme="minorHAnsi" w:hAnsiTheme="minorHAnsi" w:cstheme="minorBidi"/>
          <w:color w:val="auto"/>
          <w:sz w:val="21"/>
          <w:szCs w:val="21"/>
        </w:rPr>
        <w:t xml:space="preserve"> detailed in the table at appendix 1.</w:t>
      </w:r>
    </w:p>
    <w:p w:rsidR="00C457F7" w:rsidRDefault="00C457F7" w:rsidP="00C457F7">
      <w:pPr>
        <w:spacing w:after="0" w:line="240" w:lineRule="auto"/>
        <w:rPr>
          <w:sz w:val="21"/>
          <w:szCs w:val="21"/>
        </w:rPr>
      </w:pPr>
    </w:p>
    <w:p w:rsidR="00AB4F2C" w:rsidRDefault="00F15EF5" w:rsidP="00AB4F2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There is no </w:t>
      </w:r>
      <w:r w:rsidR="00F435F9">
        <w:rPr>
          <w:sz w:val="21"/>
          <w:szCs w:val="21"/>
        </w:rPr>
        <w:t>E</w:t>
      </w:r>
      <w:r>
        <w:rPr>
          <w:sz w:val="21"/>
          <w:szCs w:val="21"/>
        </w:rPr>
        <w:t xml:space="preserve">SFA funding available for learners </w:t>
      </w:r>
      <w:r w:rsidRPr="00C05600">
        <w:rPr>
          <w:sz w:val="21"/>
          <w:szCs w:val="21"/>
        </w:rPr>
        <w:t xml:space="preserve">aged 19 or above with the exception of learners aged 19-23 studying their first full level 3 qualification. </w:t>
      </w:r>
      <w:r w:rsidR="00AB4F2C" w:rsidRPr="00C05600">
        <w:rPr>
          <w:sz w:val="21"/>
          <w:szCs w:val="21"/>
        </w:rPr>
        <w:t>Learners can access Advanced Learner Loans (ALL) which are available for specified full level 3,4,5 and 6 programmes.  Advanced Learner Loans are between £300 (minimum loan) and the fully funded rate (maximum loan).  The College can choose to charge more or less than these amounts</w:t>
      </w:r>
      <w:r w:rsidR="00AB4F2C">
        <w:rPr>
          <w:sz w:val="21"/>
          <w:szCs w:val="21"/>
        </w:rPr>
        <w:t>.</w:t>
      </w:r>
    </w:p>
    <w:p w:rsidR="005A1BDF" w:rsidRDefault="005A1BDF" w:rsidP="00992015">
      <w:pPr>
        <w:spacing w:after="0" w:line="240" w:lineRule="auto"/>
        <w:rPr>
          <w:sz w:val="21"/>
          <w:szCs w:val="21"/>
        </w:rPr>
      </w:pPr>
    </w:p>
    <w:p w:rsidR="00A06A33" w:rsidRPr="00370C27" w:rsidRDefault="0029164B" w:rsidP="00992015">
      <w:pPr>
        <w:spacing w:after="0" w:line="240" w:lineRule="auto"/>
        <w:rPr>
          <w:sz w:val="21"/>
          <w:szCs w:val="21"/>
        </w:rPr>
      </w:pPr>
      <w:r w:rsidRPr="00370C27">
        <w:rPr>
          <w:sz w:val="21"/>
          <w:szCs w:val="21"/>
        </w:rPr>
        <w:t>Apprenticeship</w:t>
      </w:r>
      <w:r w:rsidR="00A06A33" w:rsidRPr="00370C27">
        <w:rPr>
          <w:sz w:val="21"/>
          <w:szCs w:val="21"/>
        </w:rPr>
        <w:t xml:space="preserve">s funding has changed for 2017/18. </w:t>
      </w:r>
    </w:p>
    <w:p w:rsidR="00F435F9" w:rsidRPr="00370C27" w:rsidRDefault="00F435F9" w:rsidP="00992015">
      <w:pPr>
        <w:spacing w:after="0" w:line="240" w:lineRule="auto"/>
        <w:rPr>
          <w:sz w:val="21"/>
          <w:szCs w:val="21"/>
        </w:rPr>
      </w:pPr>
    </w:p>
    <w:p w:rsidR="00F435F9" w:rsidRPr="00370C27" w:rsidRDefault="00F435F9" w:rsidP="00992015">
      <w:pPr>
        <w:spacing w:after="0" w:line="240" w:lineRule="auto"/>
        <w:rPr>
          <w:sz w:val="21"/>
          <w:szCs w:val="21"/>
        </w:rPr>
      </w:pPr>
      <w:r w:rsidRPr="00370C27">
        <w:rPr>
          <w:sz w:val="21"/>
          <w:szCs w:val="21"/>
        </w:rPr>
        <w:t>Funding Bands for each apprenticeship framework/ standard have been set by the ESFA and are used as the basis for fee levels charged by the College.</w:t>
      </w:r>
    </w:p>
    <w:p w:rsidR="00A06A33" w:rsidRPr="00370C27" w:rsidRDefault="00A06A33" w:rsidP="00992015">
      <w:pPr>
        <w:spacing w:after="0" w:line="240" w:lineRule="auto"/>
        <w:rPr>
          <w:sz w:val="21"/>
          <w:szCs w:val="21"/>
        </w:rPr>
      </w:pPr>
    </w:p>
    <w:p w:rsidR="0029164B" w:rsidRPr="00370C27" w:rsidRDefault="00A06A33" w:rsidP="00992015">
      <w:pPr>
        <w:spacing w:after="0" w:line="240" w:lineRule="auto"/>
        <w:rPr>
          <w:sz w:val="21"/>
          <w:szCs w:val="21"/>
        </w:rPr>
      </w:pPr>
      <w:r w:rsidRPr="00370C27">
        <w:rPr>
          <w:sz w:val="21"/>
          <w:szCs w:val="21"/>
        </w:rPr>
        <w:t>The funding sources are determined as follows:</w:t>
      </w:r>
    </w:p>
    <w:p w:rsidR="0029164B" w:rsidRPr="00370C27" w:rsidRDefault="00A06A33" w:rsidP="00992015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370C27">
        <w:rPr>
          <w:sz w:val="21"/>
          <w:szCs w:val="21"/>
        </w:rPr>
        <w:t>Employers with fewer than 50 employees will be fully funded by the ESFA for apprentices aged 16-18 or 19-24 with an EHCP plan. For all other apprenticeships the ESFA</w:t>
      </w:r>
      <w:r w:rsidR="00F435F9" w:rsidRPr="00370C27">
        <w:rPr>
          <w:sz w:val="21"/>
          <w:szCs w:val="21"/>
        </w:rPr>
        <w:t xml:space="preserve"> will co-invest 90% of the fee</w:t>
      </w:r>
      <w:r w:rsidRPr="00370C27">
        <w:rPr>
          <w:sz w:val="21"/>
          <w:szCs w:val="21"/>
        </w:rPr>
        <w:t xml:space="preserve"> (up to the ESFA agreed funding band maximum). The employer will be expected to pay the balance.  </w:t>
      </w:r>
    </w:p>
    <w:p w:rsidR="00F435F9" w:rsidRPr="00370C27" w:rsidRDefault="00D7443A" w:rsidP="00FE68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370C27">
        <w:rPr>
          <w:sz w:val="21"/>
          <w:szCs w:val="21"/>
        </w:rPr>
        <w:t>Employers with</w:t>
      </w:r>
      <w:r w:rsidR="00A06A33" w:rsidRPr="00370C27">
        <w:rPr>
          <w:sz w:val="21"/>
          <w:szCs w:val="21"/>
        </w:rPr>
        <w:t xml:space="preserve"> annual payroll costs in excess of £3m pay a levy to the government. This </w:t>
      </w:r>
      <w:r w:rsidR="00F435F9" w:rsidRPr="00370C27">
        <w:rPr>
          <w:sz w:val="21"/>
          <w:szCs w:val="21"/>
        </w:rPr>
        <w:t xml:space="preserve">levy </w:t>
      </w:r>
      <w:r w:rsidR="00A06A33" w:rsidRPr="00370C27">
        <w:rPr>
          <w:sz w:val="21"/>
          <w:szCs w:val="21"/>
        </w:rPr>
        <w:t>contribution</w:t>
      </w:r>
      <w:r w:rsidR="00F435F9" w:rsidRPr="00370C27">
        <w:rPr>
          <w:sz w:val="21"/>
          <w:szCs w:val="21"/>
        </w:rPr>
        <w:t xml:space="preserve"> plus a 10% top up from the government</w:t>
      </w:r>
      <w:r w:rsidR="00A06A33" w:rsidRPr="00370C27">
        <w:rPr>
          <w:sz w:val="21"/>
          <w:szCs w:val="21"/>
        </w:rPr>
        <w:t xml:space="preserve"> </w:t>
      </w:r>
      <w:r w:rsidR="00F435F9" w:rsidRPr="00370C27">
        <w:rPr>
          <w:sz w:val="21"/>
          <w:szCs w:val="21"/>
        </w:rPr>
        <w:t xml:space="preserve">is then </w:t>
      </w:r>
      <w:r w:rsidR="00A06A33" w:rsidRPr="00370C27">
        <w:rPr>
          <w:sz w:val="21"/>
          <w:szCs w:val="21"/>
        </w:rPr>
        <w:t>available to be used to fund any apprenticeship provision the employer requires</w:t>
      </w:r>
      <w:r w:rsidR="00F435F9" w:rsidRPr="00370C27">
        <w:rPr>
          <w:sz w:val="21"/>
          <w:szCs w:val="21"/>
        </w:rPr>
        <w:t xml:space="preserve"> (through the Digital Apprenticeship Service – DAS).</w:t>
      </w:r>
    </w:p>
    <w:p w:rsidR="0049301B" w:rsidRPr="00370C27" w:rsidRDefault="00F435F9" w:rsidP="00FE68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370C27">
        <w:rPr>
          <w:sz w:val="21"/>
          <w:szCs w:val="21"/>
        </w:rPr>
        <w:t>For all other employers the ESFA will co-invest 90% of the fee (up to the ESFA agreed funding band maximum). The employer will be expected to pay the balance.</w:t>
      </w:r>
    </w:p>
    <w:p w:rsidR="00F15EF5" w:rsidRDefault="00F15EF5" w:rsidP="00992015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F90887" w:rsidRDefault="004E5B6B" w:rsidP="00992015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F15EF5">
        <w:rPr>
          <w:sz w:val="21"/>
          <w:szCs w:val="21"/>
        </w:rPr>
        <w:t>All other adult learners are entitled to co-funding from the funding agencies which</w:t>
      </w:r>
      <w:r w:rsidR="0000709E" w:rsidRPr="00F15EF5">
        <w:rPr>
          <w:sz w:val="21"/>
          <w:szCs w:val="21"/>
        </w:rPr>
        <w:t xml:space="preserve"> </w:t>
      </w:r>
      <w:r w:rsidR="00F15EF5">
        <w:rPr>
          <w:sz w:val="21"/>
          <w:szCs w:val="21"/>
        </w:rPr>
        <w:t>is set to remain at 50%</w:t>
      </w:r>
      <w:r w:rsidRPr="00F15EF5">
        <w:rPr>
          <w:sz w:val="21"/>
          <w:szCs w:val="21"/>
        </w:rPr>
        <w:t xml:space="preserve">.  There is an expectation that the College will collect the remaining 50% fee from the learner or their employer.  </w:t>
      </w:r>
      <w:r w:rsidR="00435390" w:rsidRPr="00F15EF5">
        <w:rPr>
          <w:sz w:val="21"/>
          <w:szCs w:val="21"/>
        </w:rPr>
        <w:t>The college can choose to charge more or less than these amounts.</w:t>
      </w:r>
    </w:p>
    <w:p w:rsidR="004E5B6B" w:rsidRDefault="004E5B6B" w:rsidP="00992015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A96037" w:rsidRPr="00A96037" w:rsidRDefault="004E5B6B" w:rsidP="00992015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College also delivers courses that are not entitled to funding from the funding agencies.  The College will collect 100% of the fee from the learner or their employer.</w:t>
      </w:r>
      <w:r w:rsidR="00A96037">
        <w:rPr>
          <w:sz w:val="21"/>
          <w:szCs w:val="21"/>
        </w:rPr>
        <w:t xml:space="preserve">  </w:t>
      </w:r>
      <w:r w:rsidR="00A96037" w:rsidRPr="00A96037">
        <w:rPr>
          <w:sz w:val="21"/>
          <w:szCs w:val="21"/>
        </w:rPr>
        <w:t xml:space="preserve">It is expected </w:t>
      </w:r>
      <w:r w:rsidR="004B5EA9">
        <w:rPr>
          <w:sz w:val="21"/>
          <w:szCs w:val="21"/>
        </w:rPr>
        <w:t xml:space="preserve">that </w:t>
      </w:r>
      <w:r w:rsidR="00A96037" w:rsidRPr="00A96037">
        <w:rPr>
          <w:sz w:val="21"/>
          <w:szCs w:val="21"/>
        </w:rPr>
        <w:t>the fee charged will cover the costs of delivering the course and make a significant contribution to the college overheads.</w:t>
      </w:r>
    </w:p>
    <w:p w:rsidR="00C63F9A" w:rsidRPr="00B66239" w:rsidRDefault="00C63F9A" w:rsidP="00992015">
      <w:pPr>
        <w:pStyle w:val="Heading1"/>
        <w:numPr>
          <w:ilvl w:val="0"/>
          <w:numId w:val="18"/>
        </w:numPr>
      </w:pPr>
      <w:r w:rsidRPr="00B66239">
        <w:t>College Ap</w:t>
      </w:r>
      <w:r w:rsidRPr="003C3970">
        <w:t>proach</w:t>
      </w:r>
    </w:p>
    <w:p w:rsidR="003C3970" w:rsidRPr="003C3970" w:rsidRDefault="003C3970" w:rsidP="00992015">
      <w:pPr>
        <w:pStyle w:val="Heading2"/>
      </w:pPr>
      <w:r w:rsidRPr="003C3970">
        <w:t>3.1 Fees</w:t>
      </w:r>
    </w:p>
    <w:p w:rsidR="00766FF5" w:rsidRDefault="00435390" w:rsidP="0099201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charging of fees is in line with the </w:t>
      </w:r>
      <w:r w:rsidR="00391795">
        <w:rPr>
          <w:sz w:val="21"/>
          <w:szCs w:val="21"/>
        </w:rPr>
        <w:t>E</w:t>
      </w:r>
      <w:r>
        <w:rPr>
          <w:sz w:val="21"/>
          <w:szCs w:val="21"/>
        </w:rPr>
        <w:t xml:space="preserve">SFA Funding Guidance as summarised above.  </w:t>
      </w:r>
      <w:r w:rsidR="00774D2A">
        <w:rPr>
          <w:sz w:val="21"/>
          <w:szCs w:val="21"/>
        </w:rPr>
        <w:t>T</w:t>
      </w:r>
      <w:r w:rsidR="008C19A8" w:rsidRPr="00777F21">
        <w:rPr>
          <w:sz w:val="21"/>
          <w:szCs w:val="21"/>
        </w:rPr>
        <w:t>he college will charge an inclusive fe</w:t>
      </w:r>
      <w:r w:rsidR="00777F21" w:rsidRPr="00777F21">
        <w:rPr>
          <w:sz w:val="21"/>
          <w:szCs w:val="21"/>
        </w:rPr>
        <w:t>e for 201</w:t>
      </w:r>
      <w:r w:rsidR="00C05600">
        <w:rPr>
          <w:sz w:val="21"/>
          <w:szCs w:val="21"/>
        </w:rPr>
        <w:t>7</w:t>
      </w:r>
      <w:r w:rsidR="00777F21" w:rsidRPr="00777F21">
        <w:rPr>
          <w:sz w:val="21"/>
          <w:szCs w:val="21"/>
        </w:rPr>
        <w:t>/1</w:t>
      </w:r>
      <w:r w:rsidR="00C05600">
        <w:rPr>
          <w:sz w:val="21"/>
          <w:szCs w:val="21"/>
        </w:rPr>
        <w:t>8</w:t>
      </w:r>
      <w:r w:rsidR="00777F21" w:rsidRPr="00777F21">
        <w:rPr>
          <w:sz w:val="21"/>
          <w:szCs w:val="21"/>
        </w:rPr>
        <w:t xml:space="preserve"> </w:t>
      </w:r>
      <w:r w:rsidR="00193119" w:rsidRPr="00777F21">
        <w:rPr>
          <w:sz w:val="21"/>
          <w:szCs w:val="21"/>
        </w:rPr>
        <w:t xml:space="preserve">covering tuition, </w:t>
      </w:r>
      <w:r w:rsidR="008C19A8" w:rsidRPr="00777F21">
        <w:rPr>
          <w:sz w:val="21"/>
          <w:szCs w:val="21"/>
        </w:rPr>
        <w:t xml:space="preserve">registration and </w:t>
      </w:r>
      <w:r w:rsidR="00774D2A">
        <w:rPr>
          <w:sz w:val="21"/>
          <w:szCs w:val="21"/>
        </w:rPr>
        <w:t>exa</w:t>
      </w:r>
      <w:r w:rsidR="008C19A8" w:rsidRPr="00777F21">
        <w:rPr>
          <w:sz w:val="21"/>
          <w:szCs w:val="21"/>
        </w:rPr>
        <w:t>mination and all other direct costs associated with a course</w:t>
      </w:r>
      <w:r w:rsidR="00D87675">
        <w:rPr>
          <w:sz w:val="21"/>
          <w:szCs w:val="21"/>
        </w:rPr>
        <w:t xml:space="preserve"> to maximise income from the funding agencies and fees</w:t>
      </w:r>
      <w:r w:rsidR="008C19A8" w:rsidRPr="00777F21">
        <w:rPr>
          <w:sz w:val="21"/>
          <w:szCs w:val="21"/>
        </w:rPr>
        <w:t>.</w:t>
      </w:r>
    </w:p>
    <w:p w:rsidR="00F96072" w:rsidRPr="00B66239" w:rsidRDefault="00774D2A" w:rsidP="00992015">
      <w:pPr>
        <w:spacing w:after="0"/>
        <w:rPr>
          <w:sz w:val="21"/>
          <w:szCs w:val="21"/>
        </w:rPr>
      </w:pPr>
      <w:r>
        <w:rPr>
          <w:sz w:val="21"/>
          <w:szCs w:val="21"/>
        </w:rPr>
        <w:lastRenderedPageBreak/>
        <w:t>It is the re</w:t>
      </w:r>
      <w:r w:rsidR="007657F0">
        <w:rPr>
          <w:sz w:val="21"/>
          <w:szCs w:val="21"/>
        </w:rPr>
        <w:t>sponsibility of Heads of Division (</w:t>
      </w:r>
      <w:proofErr w:type="spellStart"/>
      <w:r w:rsidR="007657F0">
        <w:rPr>
          <w:sz w:val="21"/>
          <w:szCs w:val="21"/>
        </w:rPr>
        <w:t>HoD</w:t>
      </w:r>
      <w:proofErr w:type="spellEnd"/>
      <w:r>
        <w:rPr>
          <w:sz w:val="21"/>
          <w:szCs w:val="21"/>
        </w:rPr>
        <w:t>) to set the fees for planned courses in line with the guidance above whilst taking into account</w:t>
      </w:r>
      <w:r w:rsidR="005A1BDF">
        <w:rPr>
          <w:sz w:val="21"/>
          <w:szCs w:val="21"/>
        </w:rPr>
        <w:t>:</w:t>
      </w:r>
    </w:p>
    <w:p w:rsidR="00F96072" w:rsidRPr="00B66239" w:rsidRDefault="00F96072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 w:rsidRPr="00B66239">
        <w:rPr>
          <w:sz w:val="21"/>
          <w:szCs w:val="21"/>
        </w:rPr>
        <w:t>Labour Market Information (LMI)</w:t>
      </w:r>
    </w:p>
    <w:p w:rsidR="005A1BDF" w:rsidRDefault="005A1BDF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Local needs</w:t>
      </w:r>
    </w:p>
    <w:p w:rsidR="005A1BDF" w:rsidRDefault="005A1BDF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Competitors</w:t>
      </w:r>
    </w:p>
    <w:p w:rsidR="005A1BDF" w:rsidRDefault="005A1BDF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Progression</w:t>
      </w:r>
    </w:p>
    <w:p w:rsidR="00F96072" w:rsidRPr="00B66239" w:rsidRDefault="00F96072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 w:rsidRPr="00B66239">
        <w:rPr>
          <w:sz w:val="21"/>
          <w:szCs w:val="21"/>
        </w:rPr>
        <w:t>The types of learners involved</w:t>
      </w:r>
    </w:p>
    <w:p w:rsidR="00FC4B65" w:rsidRPr="00B66239" w:rsidRDefault="00F96072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 w:rsidRPr="00B66239">
        <w:rPr>
          <w:sz w:val="21"/>
          <w:szCs w:val="21"/>
        </w:rPr>
        <w:t>The relative costs of delivery</w:t>
      </w:r>
    </w:p>
    <w:p w:rsidR="0049301B" w:rsidRDefault="00FC4B65" w:rsidP="00992015">
      <w:pPr>
        <w:pStyle w:val="ListParagraph"/>
        <w:numPr>
          <w:ilvl w:val="1"/>
          <w:numId w:val="2"/>
        </w:numPr>
        <w:spacing w:after="0"/>
        <w:rPr>
          <w:sz w:val="21"/>
          <w:szCs w:val="21"/>
        </w:rPr>
      </w:pPr>
      <w:r w:rsidRPr="00B66239">
        <w:rPr>
          <w:sz w:val="21"/>
          <w:szCs w:val="21"/>
        </w:rPr>
        <w:t>‘In kind’ contributions from employers such as use of their premises or donations of materials</w:t>
      </w:r>
    </w:p>
    <w:p w:rsidR="00F96072" w:rsidRPr="0049301B" w:rsidRDefault="009915C6" w:rsidP="00992015">
      <w:pPr>
        <w:spacing w:after="0"/>
        <w:rPr>
          <w:sz w:val="21"/>
          <w:szCs w:val="21"/>
        </w:rPr>
      </w:pPr>
      <w:r w:rsidRPr="0049301B">
        <w:rPr>
          <w:sz w:val="21"/>
          <w:szCs w:val="21"/>
        </w:rPr>
        <w:t xml:space="preserve">Where </w:t>
      </w:r>
      <w:r w:rsidR="00F96072" w:rsidRPr="0049301B">
        <w:rPr>
          <w:sz w:val="21"/>
          <w:szCs w:val="21"/>
        </w:rPr>
        <w:t>fees are set below the assumed fee contribu</w:t>
      </w:r>
      <w:r w:rsidR="005A1BDF" w:rsidRPr="0049301B">
        <w:rPr>
          <w:sz w:val="21"/>
          <w:szCs w:val="21"/>
        </w:rPr>
        <w:t xml:space="preserve">tion, approval must be given by </w:t>
      </w:r>
      <w:r w:rsidR="00C05600">
        <w:rPr>
          <w:sz w:val="21"/>
          <w:szCs w:val="21"/>
        </w:rPr>
        <w:t>the Director of Finance</w:t>
      </w:r>
    </w:p>
    <w:p w:rsidR="00EA5470" w:rsidRPr="00D87675" w:rsidRDefault="00A9036B" w:rsidP="00992015">
      <w:pPr>
        <w:spacing w:after="0"/>
        <w:jc w:val="both"/>
        <w:rPr>
          <w:sz w:val="21"/>
          <w:szCs w:val="21"/>
        </w:rPr>
      </w:pPr>
      <w:r w:rsidRPr="00D87675">
        <w:rPr>
          <w:sz w:val="21"/>
          <w:szCs w:val="21"/>
        </w:rPr>
        <w:t>Tuition fees charged by our sub-contractors will be agreed a</w:t>
      </w:r>
      <w:r w:rsidR="004B5EA9">
        <w:rPr>
          <w:sz w:val="21"/>
          <w:szCs w:val="21"/>
        </w:rPr>
        <w:t>s</w:t>
      </w:r>
      <w:r w:rsidRPr="00D87675">
        <w:rPr>
          <w:sz w:val="21"/>
          <w:szCs w:val="21"/>
        </w:rPr>
        <w:t xml:space="preserve"> part of the contractual negotiations.</w:t>
      </w:r>
    </w:p>
    <w:p w:rsidR="009915C6" w:rsidRPr="00B66239" w:rsidRDefault="00992015" w:rsidP="00992015">
      <w:pPr>
        <w:pStyle w:val="Heading2"/>
      </w:pPr>
      <w:r>
        <w:t xml:space="preserve">3.2 </w:t>
      </w:r>
      <w:r w:rsidR="009915C6" w:rsidRPr="00B66239">
        <w:t xml:space="preserve">Helping Learners and Employers to pay </w:t>
      </w:r>
    </w:p>
    <w:p w:rsidR="008E0206" w:rsidRPr="00B66239" w:rsidRDefault="009915C6" w:rsidP="00992015">
      <w:pPr>
        <w:pStyle w:val="ListParagraph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 xml:space="preserve">The college recognises that some learners may have difficulties meeting the cost of their course, which may present </w:t>
      </w:r>
      <w:r w:rsidR="00B66239">
        <w:rPr>
          <w:sz w:val="21"/>
          <w:szCs w:val="21"/>
        </w:rPr>
        <w:t xml:space="preserve">a barrier to </w:t>
      </w:r>
      <w:r w:rsidRPr="00B66239">
        <w:rPr>
          <w:sz w:val="21"/>
          <w:szCs w:val="21"/>
        </w:rPr>
        <w:t>learning.</w:t>
      </w:r>
    </w:p>
    <w:p w:rsidR="009915C6" w:rsidRPr="00B66239" w:rsidRDefault="009915C6" w:rsidP="00992015">
      <w:pPr>
        <w:pStyle w:val="ListParagraph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>The college will offer payment instalment plans for many courses, and this information will be made available to learners on enrolment</w:t>
      </w:r>
    </w:p>
    <w:p w:rsidR="009915C6" w:rsidRPr="00B66239" w:rsidRDefault="009915C6" w:rsidP="00992015">
      <w:pPr>
        <w:pStyle w:val="ListParagraph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 xml:space="preserve">The </w:t>
      </w:r>
      <w:r w:rsidR="00D36E4E">
        <w:rPr>
          <w:sz w:val="21"/>
          <w:szCs w:val="21"/>
        </w:rPr>
        <w:t xml:space="preserve">system of </w:t>
      </w:r>
      <w:r w:rsidRPr="00B66239">
        <w:rPr>
          <w:sz w:val="21"/>
          <w:szCs w:val="21"/>
        </w:rPr>
        <w:t>Advanced Learn</w:t>
      </w:r>
      <w:r w:rsidR="009A281F">
        <w:rPr>
          <w:sz w:val="21"/>
          <w:szCs w:val="21"/>
        </w:rPr>
        <w:t>er</w:t>
      </w:r>
      <w:r w:rsidRPr="00B66239">
        <w:rPr>
          <w:sz w:val="21"/>
          <w:szCs w:val="21"/>
        </w:rPr>
        <w:t xml:space="preserve"> Loans will allow many learners to defer the costs of their course. Where this is available, the learners will be made aware of it </w:t>
      </w:r>
      <w:r w:rsidR="00193119">
        <w:rPr>
          <w:sz w:val="21"/>
          <w:szCs w:val="21"/>
        </w:rPr>
        <w:t>at</w:t>
      </w:r>
      <w:r w:rsidRPr="00B66239">
        <w:rPr>
          <w:sz w:val="21"/>
          <w:szCs w:val="21"/>
        </w:rPr>
        <w:t xml:space="preserve"> enrolment.</w:t>
      </w:r>
    </w:p>
    <w:p w:rsidR="009915C6" w:rsidRPr="00A96037" w:rsidRDefault="009915C6" w:rsidP="00992015">
      <w:pPr>
        <w:pStyle w:val="ListParagraph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 w:rsidRPr="00B66239">
        <w:rPr>
          <w:sz w:val="21"/>
          <w:szCs w:val="21"/>
        </w:rPr>
        <w:t xml:space="preserve">The college also operates a ‘Principal’s Discretion’ policy for the most disadvantaged learners. This allows the </w:t>
      </w:r>
      <w:r w:rsidR="00A96037">
        <w:rPr>
          <w:sz w:val="21"/>
          <w:szCs w:val="21"/>
        </w:rPr>
        <w:t xml:space="preserve">Head of Business Services </w:t>
      </w:r>
      <w:r w:rsidRPr="00B66239">
        <w:rPr>
          <w:sz w:val="21"/>
          <w:szCs w:val="21"/>
        </w:rPr>
        <w:t xml:space="preserve">to approve the waiving of part </w:t>
      </w:r>
      <w:r w:rsidR="0051649C" w:rsidRPr="00A96037">
        <w:rPr>
          <w:sz w:val="21"/>
          <w:szCs w:val="21"/>
        </w:rPr>
        <w:t xml:space="preserve">or </w:t>
      </w:r>
      <w:r w:rsidR="00A96037">
        <w:rPr>
          <w:sz w:val="21"/>
          <w:szCs w:val="21"/>
        </w:rPr>
        <w:t>all of the</w:t>
      </w:r>
      <w:r w:rsidR="00F81482" w:rsidRPr="00A96037">
        <w:rPr>
          <w:sz w:val="21"/>
          <w:szCs w:val="21"/>
        </w:rPr>
        <w:t xml:space="preserve"> course</w:t>
      </w:r>
      <w:r w:rsidRPr="00A96037">
        <w:rPr>
          <w:sz w:val="21"/>
          <w:szCs w:val="21"/>
        </w:rPr>
        <w:t xml:space="preserve"> fee.</w:t>
      </w:r>
    </w:p>
    <w:p w:rsidR="00B7126D" w:rsidRPr="00B66239" w:rsidRDefault="00193119" w:rsidP="00992015">
      <w:pPr>
        <w:pStyle w:val="ListParagraph"/>
        <w:numPr>
          <w:ilvl w:val="0"/>
          <w:numId w:val="1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When working with employers</w:t>
      </w:r>
      <w:r w:rsidR="00B7126D">
        <w:rPr>
          <w:sz w:val="21"/>
          <w:szCs w:val="21"/>
        </w:rPr>
        <w:t xml:space="preserve"> we will look to develop the most commercially attractive package for them. This will often include a combination of fully funded, co-</w:t>
      </w:r>
      <w:proofErr w:type="spellStart"/>
      <w:r w:rsidR="00B7126D">
        <w:rPr>
          <w:sz w:val="21"/>
          <w:szCs w:val="21"/>
        </w:rPr>
        <w:t>funded</w:t>
      </w:r>
      <w:proofErr w:type="spellEnd"/>
      <w:r w:rsidR="00B7126D">
        <w:rPr>
          <w:sz w:val="21"/>
          <w:szCs w:val="21"/>
        </w:rPr>
        <w:t xml:space="preserve"> and </w:t>
      </w:r>
      <w:r w:rsidR="004B5EA9">
        <w:rPr>
          <w:sz w:val="21"/>
          <w:szCs w:val="21"/>
        </w:rPr>
        <w:t>‘</w:t>
      </w:r>
      <w:r w:rsidR="00B7126D">
        <w:rPr>
          <w:sz w:val="21"/>
          <w:szCs w:val="21"/>
        </w:rPr>
        <w:t>full cost recovery</w:t>
      </w:r>
      <w:r w:rsidR="004B5EA9">
        <w:rPr>
          <w:sz w:val="21"/>
          <w:szCs w:val="21"/>
        </w:rPr>
        <w:t>’</w:t>
      </w:r>
      <w:r w:rsidR="00B7126D">
        <w:rPr>
          <w:sz w:val="21"/>
          <w:szCs w:val="21"/>
        </w:rPr>
        <w:t xml:space="preserve"> activity. We will look to secure the appropriate blend of fee and ‘in-kind’ contributions from employers.</w:t>
      </w:r>
    </w:p>
    <w:p w:rsidR="00B66239" w:rsidRPr="00B66239" w:rsidRDefault="00992015" w:rsidP="00992015">
      <w:pPr>
        <w:pStyle w:val="Heading2"/>
      </w:pPr>
      <w:r>
        <w:t xml:space="preserve">3.3 </w:t>
      </w:r>
      <w:r w:rsidR="00B66239" w:rsidRPr="00B66239">
        <w:t>Charges levied to learners who withdraw from their course</w:t>
      </w:r>
    </w:p>
    <w:p w:rsidR="00B66239" w:rsidRPr="004F1AD4" w:rsidRDefault="00B66239" w:rsidP="00992015">
      <w:pPr>
        <w:pStyle w:val="ListParagraph"/>
        <w:numPr>
          <w:ilvl w:val="0"/>
          <w:numId w:val="14"/>
        </w:numPr>
        <w:spacing w:after="0"/>
        <w:jc w:val="both"/>
        <w:rPr>
          <w:sz w:val="21"/>
          <w:szCs w:val="21"/>
          <w:u w:val="single"/>
        </w:rPr>
      </w:pPr>
      <w:r w:rsidRPr="004F1AD4">
        <w:rPr>
          <w:sz w:val="21"/>
          <w:szCs w:val="21"/>
        </w:rPr>
        <w:t>There is a clear college commitment to recruit with integrity and to support all learners to complete and achieve their learning aim.</w:t>
      </w:r>
    </w:p>
    <w:p w:rsidR="00B66239" w:rsidRPr="004F1AD4" w:rsidRDefault="00B66239" w:rsidP="00992015">
      <w:pPr>
        <w:pStyle w:val="ListParagraph"/>
        <w:numPr>
          <w:ilvl w:val="0"/>
          <w:numId w:val="14"/>
        </w:numPr>
        <w:spacing w:after="0"/>
        <w:jc w:val="both"/>
        <w:rPr>
          <w:sz w:val="21"/>
          <w:szCs w:val="21"/>
          <w:u w:val="single"/>
        </w:rPr>
      </w:pPr>
      <w:r w:rsidRPr="004F1AD4">
        <w:rPr>
          <w:sz w:val="21"/>
          <w:szCs w:val="21"/>
        </w:rPr>
        <w:t>Funding for all eligible adult learners is now based on the time the learner remains on programme.</w:t>
      </w:r>
    </w:p>
    <w:p w:rsidR="00B66239" w:rsidRPr="004F1AD4" w:rsidRDefault="00B66239" w:rsidP="00992015">
      <w:pPr>
        <w:pStyle w:val="ListParagraph"/>
        <w:numPr>
          <w:ilvl w:val="0"/>
          <w:numId w:val="14"/>
        </w:numPr>
        <w:spacing w:after="0"/>
        <w:jc w:val="both"/>
        <w:rPr>
          <w:sz w:val="21"/>
          <w:szCs w:val="21"/>
          <w:u w:val="single"/>
        </w:rPr>
      </w:pPr>
      <w:r w:rsidRPr="004F1AD4">
        <w:rPr>
          <w:sz w:val="21"/>
          <w:szCs w:val="21"/>
        </w:rPr>
        <w:t>Therefore, based on a pro rata calculation, the college will only seek to recover fees for the element of a learner</w:t>
      </w:r>
      <w:r w:rsidR="003D013B" w:rsidRPr="004F1AD4">
        <w:rPr>
          <w:sz w:val="21"/>
          <w:szCs w:val="21"/>
        </w:rPr>
        <w:t>’</w:t>
      </w:r>
      <w:r w:rsidRPr="004F1AD4">
        <w:rPr>
          <w:sz w:val="21"/>
          <w:szCs w:val="21"/>
        </w:rPr>
        <w:t>s programme</w:t>
      </w:r>
      <w:r w:rsidR="003D013B" w:rsidRPr="004F1AD4">
        <w:rPr>
          <w:sz w:val="21"/>
          <w:szCs w:val="21"/>
        </w:rPr>
        <w:t xml:space="preserve"> they have attended</w:t>
      </w:r>
      <w:r w:rsidRPr="004F1AD4">
        <w:rPr>
          <w:sz w:val="21"/>
          <w:szCs w:val="21"/>
        </w:rPr>
        <w:t>.</w:t>
      </w:r>
    </w:p>
    <w:p w:rsidR="00B22409" w:rsidRPr="004F1AD4" w:rsidRDefault="00B66239" w:rsidP="00992015">
      <w:pPr>
        <w:pStyle w:val="ListParagraph"/>
        <w:numPr>
          <w:ilvl w:val="0"/>
          <w:numId w:val="14"/>
        </w:numPr>
        <w:spacing w:after="0"/>
        <w:rPr>
          <w:sz w:val="21"/>
          <w:szCs w:val="21"/>
          <w:u w:val="single"/>
        </w:rPr>
      </w:pPr>
      <w:r w:rsidRPr="004F1AD4">
        <w:rPr>
          <w:sz w:val="21"/>
          <w:szCs w:val="21"/>
        </w:rPr>
        <w:t>An admin fee may be payable.</w:t>
      </w:r>
    </w:p>
    <w:p w:rsidR="00400002" w:rsidRDefault="00400002" w:rsidP="00B22409">
      <w:pPr>
        <w:rPr>
          <w:sz w:val="21"/>
          <w:szCs w:val="21"/>
          <w:u w:val="single"/>
        </w:rPr>
      </w:pPr>
    </w:p>
    <w:p w:rsidR="00C05600" w:rsidRDefault="00C05600" w:rsidP="00B22409">
      <w:pPr>
        <w:rPr>
          <w:sz w:val="21"/>
          <w:szCs w:val="21"/>
          <w:u w:val="single"/>
        </w:rPr>
      </w:pPr>
    </w:p>
    <w:p w:rsidR="00C05600" w:rsidRDefault="00C05600" w:rsidP="00B22409">
      <w:pPr>
        <w:rPr>
          <w:sz w:val="21"/>
          <w:szCs w:val="21"/>
          <w:u w:val="single"/>
        </w:rPr>
      </w:pPr>
    </w:p>
    <w:p w:rsidR="00C05600" w:rsidRDefault="00C05600" w:rsidP="00B22409">
      <w:pPr>
        <w:rPr>
          <w:sz w:val="21"/>
          <w:szCs w:val="21"/>
          <w:u w:val="single"/>
        </w:rPr>
      </w:pPr>
    </w:p>
    <w:p w:rsidR="00C05600" w:rsidRPr="00B22409" w:rsidRDefault="00C05600" w:rsidP="00B22409">
      <w:pPr>
        <w:rPr>
          <w:sz w:val="21"/>
          <w:szCs w:val="21"/>
          <w:u w:val="single"/>
        </w:rPr>
      </w:pPr>
    </w:p>
    <w:p w:rsidR="009749D7" w:rsidRDefault="009749D7" w:rsidP="00E07838">
      <w:pPr>
        <w:autoSpaceDE w:val="0"/>
        <w:autoSpaceDN w:val="0"/>
        <w:adjustRightInd w:val="0"/>
        <w:spacing w:after="0" w:line="161" w:lineRule="atLeast"/>
        <w:rPr>
          <w:rFonts w:ascii="HelveticaNeueLT Std Med" w:hAnsi="HelveticaNeueLT Std Med" w:cs="HelveticaNeueLT Std Med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66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551"/>
        <w:gridCol w:w="2835"/>
        <w:gridCol w:w="2410"/>
      </w:tblGrid>
      <w:tr w:rsidR="007B63D6" w:rsidRPr="0060032D" w:rsidTr="004F6402">
        <w:trPr>
          <w:trHeight w:val="301"/>
        </w:trPr>
        <w:tc>
          <w:tcPr>
            <w:tcW w:w="13291" w:type="dxa"/>
            <w:gridSpan w:val="5"/>
            <w:shd w:val="clear" w:color="auto" w:fill="auto"/>
          </w:tcPr>
          <w:p w:rsidR="007B63D6" w:rsidRPr="00534C50" w:rsidRDefault="007B63D6" w:rsidP="004F6402">
            <w:pPr>
              <w:pStyle w:val="Heading3"/>
              <w:ind w:left="720" w:hanging="720"/>
              <w:rPr>
                <w:rFonts w:eastAsia="Arial Unicode MS"/>
              </w:rPr>
            </w:pPr>
            <w:bookmarkStart w:id="1" w:name="_Toc450387118"/>
            <w:r>
              <w:rPr>
                <w:rFonts w:eastAsia="Arial Unicode MS"/>
              </w:rPr>
              <w:t xml:space="preserve">2017/18 </w:t>
            </w:r>
            <w:r w:rsidRPr="00534C50">
              <w:rPr>
                <w:rFonts w:eastAsia="Arial Unicode MS"/>
              </w:rPr>
              <w:t>Funding Matrix</w:t>
            </w:r>
            <w:bookmarkEnd w:id="1"/>
          </w:p>
        </w:tc>
      </w:tr>
      <w:tr w:rsidR="00391795" w:rsidRPr="00FB035A" w:rsidTr="002A50D2">
        <w:trPr>
          <w:trHeight w:val="113"/>
        </w:trPr>
        <w:tc>
          <w:tcPr>
            <w:tcW w:w="3227" w:type="dxa"/>
            <w:vMerge w:val="restart"/>
            <w:shd w:val="clear" w:color="auto" w:fill="auto"/>
          </w:tcPr>
          <w:p w:rsidR="00391795" w:rsidRPr="00FB035A" w:rsidRDefault="00391795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2017/18</w:t>
            </w: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 xml:space="preserve"> F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unding</w:t>
            </w: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 xml:space="preserve"> Matrix</w:t>
            </w:r>
          </w:p>
        </w:tc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1795" w:rsidRPr="00FB035A" w:rsidRDefault="00391795" w:rsidP="004F6402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ESFA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/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>16-18 year olds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39EE">
              <w:rPr>
                <w:rFonts w:ascii="Calibri" w:eastAsia="Arial Unicode MS" w:hAnsi="Calibri" w:cs="Calibri"/>
                <w:sz w:val="18"/>
                <w:szCs w:val="18"/>
              </w:rPr>
              <w:t>Unemployed on Active Benefits: JSA, ESA WRAG, *Universal Credit.  +Self-Dec - check aim is ASB funded</w:t>
            </w: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>19-23 year olds</w:t>
            </w:r>
          </w:p>
        </w:tc>
        <w:tc>
          <w:tcPr>
            <w:tcW w:w="2410" w:type="dxa"/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 xml:space="preserve">Classroom Based 24+ </w:t>
            </w:r>
          </w:p>
        </w:tc>
      </w:tr>
      <w:tr w:rsidR="007B63D6" w:rsidRPr="00FB035A" w:rsidTr="004F6402">
        <w:trPr>
          <w:trHeight w:val="541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GCSE English Language &amp; Math (must not already have Grade A*-C</w:t>
            </w:r>
            <w:r>
              <w:rPr>
                <w:rStyle w:val="style441"/>
                <w:rFonts w:ascii="Calibri" w:hAnsi="Calibri" w:cs="Calibri"/>
                <w:sz w:val="18"/>
                <w:szCs w:val="18"/>
              </w:rPr>
              <w:t>/ Grade 4 or higher</w:t>
            </w: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FS English &amp; Math up to 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ESOL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Co-Funded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Co-Funded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 w:val="restart"/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 xml:space="preserve">Progression Funding  </w:t>
            </w:r>
          </w:p>
          <w:p w:rsidR="007B63D6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960A49">
              <w:rPr>
                <w:rStyle w:val="style441"/>
                <w:rFonts w:ascii="Calibri" w:hAnsi="Calibri" w:cs="Calibri"/>
                <w:sz w:val="18"/>
                <w:szCs w:val="18"/>
              </w:rPr>
              <w:t>Provision to progress to a level 2</w:t>
            </w:r>
            <w:r>
              <w:rPr>
                <w:rStyle w:val="style441"/>
                <w:rFonts w:ascii="Calibri" w:hAnsi="Calibri" w:cs="Calibri"/>
                <w:sz w:val="18"/>
                <w:szCs w:val="18"/>
              </w:rPr>
              <w:t>: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960A49">
              <w:rPr>
                <w:rStyle w:val="style441"/>
                <w:rFonts w:ascii="Calibri" w:hAnsi="Calibri" w:cs="Calibri"/>
                <w:sz w:val="18"/>
                <w:szCs w:val="18"/>
              </w:rPr>
              <w:t>Entry</w:t>
            </w:r>
            <w:r>
              <w:rPr>
                <w:rStyle w:val="style441"/>
                <w:rFonts w:ascii="Calibri" w:hAnsi="Calibri" w:cs="Calibri"/>
                <w:sz w:val="18"/>
                <w:szCs w:val="18"/>
              </w:rPr>
              <w:t>,</w:t>
            </w:r>
            <w:r w:rsidRPr="00960A49">
              <w:rPr>
                <w:rStyle w:val="style441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style441"/>
                <w:rFonts w:ascii="Calibri" w:hAnsi="Calibri" w:cs="Calibri"/>
                <w:sz w:val="18"/>
                <w:szCs w:val="18"/>
              </w:rPr>
              <w:t>Level 1 and Level 2 (not full)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 all ages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with or without a level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 xml:space="preserve">Fully Funded 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without a Level 2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Co- Funded with or without a Level 2 or above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Co- Funded with a Level 2 or above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 w:val="restart"/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 Level 2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 all ages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with or without a level 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  <w:r>
              <w:rPr>
                <w:rStyle w:val="style441"/>
                <w:rFonts w:ascii="Calibri" w:hAnsi="Calibri" w:cs="Calibri"/>
                <w:sz w:val="18"/>
                <w:szCs w:val="18"/>
              </w:rPr>
              <w:t xml:space="preserve"> </w:t>
            </w: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(first full)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Co- Funded with or without a Level 2 or above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Co- Funded with a Level 2 or above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E36C0A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 w:val="restart"/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 level 3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 (first full</w:t>
            </w:r>
            <w:r>
              <w:rPr>
                <w:rStyle w:val="style441"/>
                <w:rFonts w:ascii="Calibri" w:hAnsi="Calibri" w:cs="Calibri"/>
                <w:sz w:val="18"/>
                <w:szCs w:val="18"/>
              </w:rPr>
              <w:t xml:space="preserve"> level 3</w:t>
            </w: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)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Aged 19-23 only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Fully Funded (first full)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Loans Funded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/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Loans Funded with a Level 3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Aged 19-23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Loans Funded with a Level 3</w:t>
            </w:r>
          </w:p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  <w:r w:rsidRPr="00FB035A">
              <w:rPr>
                <w:rStyle w:val="style441"/>
                <w:rFonts w:ascii="Calibri" w:hAnsi="Calibri" w:cs="Calibri"/>
                <w:sz w:val="18"/>
                <w:szCs w:val="18"/>
              </w:rPr>
              <w:t>Loans Funded Aged 24+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Style w:val="style441"/>
                <w:rFonts w:ascii="Calibri" w:hAnsi="Calibri" w:cs="Calibri"/>
                <w:sz w:val="18"/>
                <w:szCs w:val="18"/>
              </w:rPr>
            </w:pP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 xml:space="preserve">Level 4, 5, 6 </w:t>
            </w:r>
          </w:p>
        </w:tc>
        <w:tc>
          <w:tcPr>
            <w:tcW w:w="2268" w:type="dxa"/>
            <w:shd w:val="clear" w:color="auto" w:fill="92D050"/>
          </w:tcPr>
          <w:p w:rsidR="007B63D6" w:rsidRPr="00FB035A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>Fully Funded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>Loans Funded Aged 19+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>Loans Funded Aged 19+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7B63D6" w:rsidRPr="00FB035A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>Loans Funded Aged 19+</w:t>
            </w:r>
          </w:p>
        </w:tc>
      </w:tr>
      <w:tr w:rsidR="007B63D6" w:rsidRPr="00FB035A" w:rsidTr="004F6402">
        <w:trPr>
          <w:trHeight w:val="11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B63D6" w:rsidRPr="00FB035A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FB035A">
              <w:rPr>
                <w:rFonts w:ascii="Calibri" w:eastAsia="Arial Unicode MS" w:hAnsi="Calibri" w:cs="Calibri"/>
                <w:sz w:val="18"/>
                <w:szCs w:val="18"/>
              </w:rPr>
              <w:t xml:space="preserve">Apprenticeship </w:t>
            </w:r>
          </w:p>
        </w:tc>
        <w:tc>
          <w:tcPr>
            <w:tcW w:w="10064" w:type="dxa"/>
            <w:gridSpan w:val="4"/>
            <w:shd w:val="clear" w:color="auto" w:fill="92D050"/>
          </w:tcPr>
          <w:p w:rsidR="007B63D6" w:rsidRPr="00FB035A" w:rsidRDefault="007B63D6" w:rsidP="004F6402">
            <w:pPr>
              <w:spacing w:after="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Refer to Apprenticeship Reforms for Employer Fees (LEVY)</w:t>
            </w:r>
          </w:p>
        </w:tc>
      </w:tr>
      <w:tr w:rsidR="007B63D6" w:rsidRPr="007939EE" w:rsidTr="004F6402">
        <w:trPr>
          <w:trHeight w:val="20"/>
        </w:trPr>
        <w:tc>
          <w:tcPr>
            <w:tcW w:w="3227" w:type="dxa"/>
            <w:shd w:val="clear" w:color="auto" w:fill="auto"/>
          </w:tcPr>
          <w:p w:rsidR="007B63D6" w:rsidRPr="007939EE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39EE">
              <w:rPr>
                <w:rFonts w:ascii="Calibri" w:eastAsia="Arial Unicode MS" w:hAnsi="Calibri" w:cs="Calibri"/>
                <w:sz w:val="18"/>
                <w:szCs w:val="18"/>
              </w:rPr>
              <w:t>Traineeships – must be unemployed or earn less than £330 pm</w:t>
            </w:r>
          </w:p>
        </w:tc>
        <w:tc>
          <w:tcPr>
            <w:tcW w:w="2268" w:type="dxa"/>
            <w:shd w:val="clear" w:color="auto" w:fill="92D050"/>
          </w:tcPr>
          <w:p w:rsidR="007B63D6" w:rsidRPr="007939EE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39EE">
              <w:rPr>
                <w:rFonts w:ascii="Calibri" w:eastAsia="Arial Unicode MS" w:hAnsi="Calibri" w:cs="Calibri"/>
                <w:sz w:val="18"/>
                <w:szCs w:val="18"/>
              </w:rPr>
              <w:t>Fully funded without a first full level 3</w:t>
            </w:r>
          </w:p>
        </w:tc>
        <w:tc>
          <w:tcPr>
            <w:tcW w:w="2551" w:type="dxa"/>
            <w:shd w:val="clear" w:color="auto" w:fill="92D050"/>
          </w:tcPr>
          <w:p w:rsidR="007B63D6" w:rsidRPr="007939EE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39EE">
              <w:rPr>
                <w:rFonts w:ascii="Calibri" w:eastAsia="Arial Unicode MS" w:hAnsi="Calibri" w:cs="Calibri"/>
                <w:sz w:val="18"/>
                <w:szCs w:val="18"/>
              </w:rPr>
              <w:t>Fully funded without a first full level 3  Aged 19-24</w:t>
            </w:r>
          </w:p>
        </w:tc>
        <w:tc>
          <w:tcPr>
            <w:tcW w:w="2835" w:type="dxa"/>
            <w:shd w:val="clear" w:color="auto" w:fill="92D050"/>
          </w:tcPr>
          <w:p w:rsidR="007B63D6" w:rsidRPr="007939EE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39EE">
              <w:rPr>
                <w:rFonts w:ascii="Calibri" w:eastAsia="Arial Unicode MS" w:hAnsi="Calibri" w:cs="Calibri"/>
                <w:sz w:val="18"/>
                <w:szCs w:val="18"/>
              </w:rPr>
              <w:t>Fully funded without a first full level 3 Aged 19-24</w:t>
            </w:r>
          </w:p>
        </w:tc>
        <w:tc>
          <w:tcPr>
            <w:tcW w:w="2410" w:type="dxa"/>
            <w:shd w:val="clear" w:color="auto" w:fill="E5B8B7"/>
          </w:tcPr>
          <w:p w:rsidR="007B63D6" w:rsidRPr="007939EE" w:rsidRDefault="007B63D6" w:rsidP="004F6402">
            <w:pPr>
              <w:spacing w:after="0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39EE">
              <w:rPr>
                <w:rFonts w:ascii="Calibri" w:eastAsia="Arial Unicode MS" w:hAnsi="Calibri" w:cs="Calibri"/>
                <w:sz w:val="18"/>
                <w:szCs w:val="18"/>
              </w:rPr>
              <w:t>Not Available</w:t>
            </w:r>
          </w:p>
        </w:tc>
      </w:tr>
    </w:tbl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</w:p>
    <w:p w:rsidR="007B63D6" w:rsidRPr="007939EE" w:rsidRDefault="007B63D6" w:rsidP="007B63D6">
      <w:pPr>
        <w:spacing w:after="0" w:line="240" w:lineRule="auto"/>
        <w:ind w:left="851"/>
        <w:rPr>
          <w:rFonts w:ascii="Calibri" w:hAnsi="Calibri"/>
          <w:b/>
        </w:rPr>
      </w:pPr>
      <w:r w:rsidRPr="007939EE">
        <w:rPr>
          <w:rFonts w:ascii="Calibri" w:hAnsi="Calibri"/>
          <w:b/>
        </w:rPr>
        <w:t>*Universal Credit and Earn less than £330 per month and are in one of the following groups:</w:t>
      </w:r>
    </w:p>
    <w:p w:rsidR="007B63D6" w:rsidRPr="007939EE" w:rsidRDefault="007B63D6" w:rsidP="007B63D6">
      <w:pPr>
        <w:spacing w:after="0" w:line="240" w:lineRule="auto"/>
        <w:ind w:left="851" w:firstLine="360"/>
        <w:rPr>
          <w:rFonts w:ascii="Calibri" w:hAnsi="Calibri"/>
          <w:b/>
        </w:rPr>
      </w:pPr>
      <w:r w:rsidRPr="007939EE">
        <w:rPr>
          <w:rFonts w:ascii="Calibri" w:hAnsi="Calibri"/>
          <w:b/>
        </w:rPr>
        <w:t>All Work Related requirements Group</w:t>
      </w:r>
      <w:r w:rsidRPr="007939EE">
        <w:rPr>
          <w:rFonts w:ascii="Calibri" w:hAnsi="Calibri"/>
          <w:b/>
        </w:rPr>
        <w:tab/>
        <w:t>/</w:t>
      </w:r>
      <w:r w:rsidRPr="007939EE">
        <w:rPr>
          <w:rFonts w:ascii="Calibri" w:hAnsi="Calibri"/>
          <w:b/>
        </w:rPr>
        <w:tab/>
        <w:t xml:space="preserve">Work Preparation Group </w:t>
      </w:r>
      <w:r w:rsidRPr="007939EE">
        <w:rPr>
          <w:rFonts w:ascii="Calibri" w:hAnsi="Calibri"/>
          <w:b/>
        </w:rPr>
        <w:tab/>
        <w:t>/ Work Focused Interview Group</w:t>
      </w:r>
    </w:p>
    <w:p w:rsidR="007B63D6" w:rsidRPr="007939EE" w:rsidRDefault="007B63D6" w:rsidP="007B63D6">
      <w:pPr>
        <w:spacing w:after="0" w:line="240" w:lineRule="auto"/>
        <w:ind w:left="851"/>
        <w:rPr>
          <w:rFonts w:ascii="Calibri" w:hAnsi="Calibri"/>
        </w:rPr>
      </w:pPr>
    </w:p>
    <w:p w:rsidR="007B63D6" w:rsidRPr="00FB035A" w:rsidRDefault="007B63D6" w:rsidP="007B63D6">
      <w:pPr>
        <w:spacing w:after="0" w:line="240" w:lineRule="auto"/>
        <w:ind w:left="851"/>
        <w:rPr>
          <w:rFonts w:ascii="Calibri" w:hAnsi="Calibri" w:cs="Calibri"/>
          <w:b/>
          <w:sz w:val="18"/>
          <w:szCs w:val="18"/>
        </w:rPr>
      </w:pPr>
      <w:r w:rsidRPr="007939EE">
        <w:rPr>
          <w:rFonts w:ascii="Calibri" w:hAnsi="Calibri"/>
        </w:rPr>
        <w:t>+</w:t>
      </w:r>
      <w:proofErr w:type="spellStart"/>
      <w:r w:rsidRPr="007939EE">
        <w:rPr>
          <w:rFonts w:ascii="Calibri" w:hAnsi="Calibri"/>
        </w:rPr>
        <w:t>Self Dec</w:t>
      </w:r>
      <w:proofErr w:type="spellEnd"/>
      <w:r w:rsidRPr="007939EE">
        <w:rPr>
          <w:rFonts w:ascii="Calibri" w:hAnsi="Calibri"/>
        </w:rPr>
        <w:t xml:space="preserve"> - Other state benefit (not listed above) </w:t>
      </w:r>
      <w:r w:rsidRPr="007939EE">
        <w:rPr>
          <w:rFonts w:ascii="Calibri" w:hAnsi="Calibri"/>
          <w:b/>
        </w:rPr>
        <w:t>and</w:t>
      </w:r>
      <w:r w:rsidRPr="007939EE">
        <w:rPr>
          <w:rFonts w:ascii="Calibri" w:hAnsi="Calibri"/>
        </w:rPr>
        <w:t xml:space="preserve"> Earn less than £330 per month </w:t>
      </w:r>
      <w:r w:rsidRPr="007939EE">
        <w:rPr>
          <w:rFonts w:ascii="Calibri" w:hAnsi="Calibri"/>
          <w:b/>
        </w:rPr>
        <w:t>and</w:t>
      </w:r>
      <w:r w:rsidRPr="007939EE">
        <w:rPr>
          <w:rFonts w:ascii="Calibri" w:hAnsi="Calibri"/>
        </w:rPr>
        <w:t xml:space="preserve"> are taking the course to gain the skills to enter employment </w:t>
      </w:r>
      <w:r w:rsidRPr="007939EE">
        <w:rPr>
          <w:rFonts w:ascii="Calibri" w:hAnsi="Calibri"/>
          <w:b/>
        </w:rPr>
        <w:t xml:space="preserve">must complete a self-declaration form </w:t>
      </w:r>
      <w:r w:rsidRPr="007939EE">
        <w:rPr>
          <w:rFonts w:ascii="Calibri" w:hAnsi="Calibri"/>
        </w:rPr>
        <w:t>available from Info+</w:t>
      </w:r>
    </w:p>
    <w:p w:rsidR="009749D7" w:rsidRDefault="009749D7" w:rsidP="009749D7">
      <w:pPr>
        <w:rPr>
          <w:sz w:val="21"/>
          <w:szCs w:val="21"/>
        </w:rPr>
      </w:pPr>
    </w:p>
    <w:p w:rsidR="009749D7" w:rsidRPr="009749D7" w:rsidRDefault="009749D7" w:rsidP="009749D7">
      <w:pPr>
        <w:rPr>
          <w:sz w:val="21"/>
          <w:szCs w:val="21"/>
        </w:rPr>
      </w:pPr>
    </w:p>
    <w:sectPr w:rsidR="009749D7" w:rsidRPr="009749D7" w:rsidSect="00992015"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BE" w:rsidRDefault="00FF1CBE" w:rsidP="000B51E9">
      <w:pPr>
        <w:spacing w:after="0" w:line="240" w:lineRule="auto"/>
      </w:pPr>
      <w:r>
        <w:separator/>
      </w:r>
    </w:p>
  </w:endnote>
  <w:endnote w:type="continuationSeparator" w:id="0">
    <w:p w:rsidR="00FF1CBE" w:rsidRDefault="00FF1CBE" w:rsidP="000B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1F" w:rsidRPr="004B5EA9" w:rsidRDefault="00223D1F">
    <w:pPr>
      <w:pStyle w:val="Footer"/>
      <w:rPr>
        <w:sz w:val="18"/>
        <w:szCs w:val="18"/>
      </w:rPr>
    </w:pPr>
    <w:r w:rsidRPr="004B5EA9">
      <w:rPr>
        <w:sz w:val="18"/>
        <w:szCs w:val="18"/>
      </w:rPr>
      <w:t xml:space="preserve">Updated </w:t>
    </w:r>
    <w:r w:rsidR="007B63D6">
      <w:rPr>
        <w:sz w:val="18"/>
        <w:szCs w:val="18"/>
      </w:rPr>
      <w:t>March 2017</w:t>
    </w:r>
    <w:r w:rsidRPr="004B5EA9">
      <w:rPr>
        <w:sz w:val="18"/>
        <w:szCs w:val="18"/>
      </w:rPr>
      <w:t xml:space="preserve">  </w:t>
    </w:r>
  </w:p>
  <w:p w:rsidR="00223D1F" w:rsidRPr="004B5EA9" w:rsidRDefault="004B5EA9">
    <w:pPr>
      <w:pStyle w:val="Footer"/>
      <w:rPr>
        <w:sz w:val="18"/>
        <w:szCs w:val="18"/>
      </w:rPr>
    </w:pPr>
    <w:r w:rsidRPr="004B5EA9">
      <w:rPr>
        <w:sz w:val="18"/>
        <w:szCs w:val="18"/>
      </w:rPr>
      <w:t>Review November</w:t>
    </w:r>
    <w:r w:rsidR="007B63D6">
      <w:rPr>
        <w:sz w:val="18"/>
        <w:szCs w:val="18"/>
      </w:rPr>
      <w:t xml:space="preserve"> 2017</w:t>
    </w:r>
  </w:p>
  <w:p w:rsidR="00223D1F" w:rsidRDefault="00223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BE" w:rsidRDefault="00FF1CBE" w:rsidP="000B51E9">
      <w:pPr>
        <w:spacing w:after="0" w:line="240" w:lineRule="auto"/>
      </w:pPr>
      <w:r>
        <w:separator/>
      </w:r>
    </w:p>
  </w:footnote>
  <w:footnote w:type="continuationSeparator" w:id="0">
    <w:p w:rsidR="00FF1CBE" w:rsidRDefault="00FF1CBE" w:rsidP="000B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18F9"/>
    <w:multiLevelType w:val="hybridMultilevel"/>
    <w:tmpl w:val="7146F4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4243F"/>
    <w:multiLevelType w:val="hybridMultilevel"/>
    <w:tmpl w:val="6E74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3EA0"/>
    <w:multiLevelType w:val="hybridMultilevel"/>
    <w:tmpl w:val="7638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737"/>
    <w:multiLevelType w:val="hybridMultilevel"/>
    <w:tmpl w:val="2286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6FE"/>
    <w:multiLevelType w:val="hybridMultilevel"/>
    <w:tmpl w:val="9580FC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1EF0314"/>
    <w:multiLevelType w:val="hybridMultilevel"/>
    <w:tmpl w:val="877C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037F"/>
    <w:multiLevelType w:val="hybridMultilevel"/>
    <w:tmpl w:val="01B6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C45"/>
    <w:multiLevelType w:val="hybridMultilevel"/>
    <w:tmpl w:val="87B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14E34"/>
    <w:multiLevelType w:val="hybridMultilevel"/>
    <w:tmpl w:val="F208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D30B5"/>
    <w:multiLevelType w:val="hybridMultilevel"/>
    <w:tmpl w:val="EA2C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71924"/>
    <w:multiLevelType w:val="hybridMultilevel"/>
    <w:tmpl w:val="64EA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0A85"/>
    <w:multiLevelType w:val="hybridMultilevel"/>
    <w:tmpl w:val="7F16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413A0"/>
    <w:multiLevelType w:val="hybridMultilevel"/>
    <w:tmpl w:val="0C26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E3A29"/>
    <w:multiLevelType w:val="hybridMultilevel"/>
    <w:tmpl w:val="2B40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30DB7"/>
    <w:multiLevelType w:val="hybridMultilevel"/>
    <w:tmpl w:val="2E9440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3958E3"/>
    <w:multiLevelType w:val="hybridMultilevel"/>
    <w:tmpl w:val="69D6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64B59"/>
    <w:multiLevelType w:val="hybridMultilevel"/>
    <w:tmpl w:val="93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72758"/>
    <w:multiLevelType w:val="hybridMultilevel"/>
    <w:tmpl w:val="3024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6"/>
  </w:num>
  <w:num w:numId="14">
    <w:abstractNumId w:val="17"/>
  </w:num>
  <w:num w:numId="15">
    <w:abstractNumId w:val="5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E"/>
    <w:rsid w:val="00004C26"/>
    <w:rsid w:val="0000709E"/>
    <w:rsid w:val="00021113"/>
    <w:rsid w:val="0002516F"/>
    <w:rsid w:val="00040694"/>
    <w:rsid w:val="00050059"/>
    <w:rsid w:val="00055AE4"/>
    <w:rsid w:val="00067576"/>
    <w:rsid w:val="00072287"/>
    <w:rsid w:val="000B51E9"/>
    <w:rsid w:val="000C0F2E"/>
    <w:rsid w:val="000E6A2A"/>
    <w:rsid w:val="00102F54"/>
    <w:rsid w:val="0017279D"/>
    <w:rsid w:val="00172D8D"/>
    <w:rsid w:val="00173227"/>
    <w:rsid w:val="00176837"/>
    <w:rsid w:val="00176CB4"/>
    <w:rsid w:val="00181E1F"/>
    <w:rsid w:val="001827E3"/>
    <w:rsid w:val="00193119"/>
    <w:rsid w:val="001973BA"/>
    <w:rsid w:val="001B393D"/>
    <w:rsid w:val="001C71A9"/>
    <w:rsid w:val="001C73B6"/>
    <w:rsid w:val="001E1E4E"/>
    <w:rsid w:val="001E22D6"/>
    <w:rsid w:val="001F6674"/>
    <w:rsid w:val="00222E24"/>
    <w:rsid w:val="00223D1F"/>
    <w:rsid w:val="002358B4"/>
    <w:rsid w:val="0025103A"/>
    <w:rsid w:val="00257E73"/>
    <w:rsid w:val="0029164B"/>
    <w:rsid w:val="00291A22"/>
    <w:rsid w:val="00292E78"/>
    <w:rsid w:val="00295A5F"/>
    <w:rsid w:val="002C0C69"/>
    <w:rsid w:val="002D01AF"/>
    <w:rsid w:val="002D0F62"/>
    <w:rsid w:val="002E49D7"/>
    <w:rsid w:val="002E7252"/>
    <w:rsid w:val="002F2322"/>
    <w:rsid w:val="003159A1"/>
    <w:rsid w:val="0036129B"/>
    <w:rsid w:val="00370C27"/>
    <w:rsid w:val="00391795"/>
    <w:rsid w:val="00396BCD"/>
    <w:rsid w:val="003A5E30"/>
    <w:rsid w:val="003C0133"/>
    <w:rsid w:val="003C3970"/>
    <w:rsid w:val="003D013B"/>
    <w:rsid w:val="003E41AB"/>
    <w:rsid w:val="003E6BA8"/>
    <w:rsid w:val="003F5857"/>
    <w:rsid w:val="003F715E"/>
    <w:rsid w:val="00400002"/>
    <w:rsid w:val="0040129F"/>
    <w:rsid w:val="004018B6"/>
    <w:rsid w:val="004026D1"/>
    <w:rsid w:val="0040484F"/>
    <w:rsid w:val="00421098"/>
    <w:rsid w:val="00435390"/>
    <w:rsid w:val="00476350"/>
    <w:rsid w:val="0049301B"/>
    <w:rsid w:val="004A3A83"/>
    <w:rsid w:val="004B5EA9"/>
    <w:rsid w:val="004D4FEB"/>
    <w:rsid w:val="004D7632"/>
    <w:rsid w:val="004E5B6B"/>
    <w:rsid w:val="004F1AD4"/>
    <w:rsid w:val="00500007"/>
    <w:rsid w:val="00503051"/>
    <w:rsid w:val="005071A1"/>
    <w:rsid w:val="0051308A"/>
    <w:rsid w:val="0051649C"/>
    <w:rsid w:val="00547F32"/>
    <w:rsid w:val="005614C8"/>
    <w:rsid w:val="005704FC"/>
    <w:rsid w:val="00576E2B"/>
    <w:rsid w:val="005A1BDF"/>
    <w:rsid w:val="005C4448"/>
    <w:rsid w:val="005E3559"/>
    <w:rsid w:val="005E747F"/>
    <w:rsid w:val="005F0CA8"/>
    <w:rsid w:val="005F40F8"/>
    <w:rsid w:val="005F6C8F"/>
    <w:rsid w:val="006120BB"/>
    <w:rsid w:val="0061275A"/>
    <w:rsid w:val="00655480"/>
    <w:rsid w:val="00663A8A"/>
    <w:rsid w:val="00665C2A"/>
    <w:rsid w:val="00670322"/>
    <w:rsid w:val="00694BC8"/>
    <w:rsid w:val="006C1DDE"/>
    <w:rsid w:val="006C340C"/>
    <w:rsid w:val="006F5A11"/>
    <w:rsid w:val="00710CF5"/>
    <w:rsid w:val="00717D43"/>
    <w:rsid w:val="00724F6B"/>
    <w:rsid w:val="00740774"/>
    <w:rsid w:val="0076391D"/>
    <w:rsid w:val="00764ACA"/>
    <w:rsid w:val="007657F0"/>
    <w:rsid w:val="00766FF5"/>
    <w:rsid w:val="007674DB"/>
    <w:rsid w:val="00774D2A"/>
    <w:rsid w:val="00777473"/>
    <w:rsid w:val="00777F21"/>
    <w:rsid w:val="00786C7C"/>
    <w:rsid w:val="00796F7D"/>
    <w:rsid w:val="007A3AC6"/>
    <w:rsid w:val="007B2A7B"/>
    <w:rsid w:val="007B63D6"/>
    <w:rsid w:val="007E6612"/>
    <w:rsid w:val="007F5484"/>
    <w:rsid w:val="0080190C"/>
    <w:rsid w:val="0082749E"/>
    <w:rsid w:val="008468F4"/>
    <w:rsid w:val="0088379A"/>
    <w:rsid w:val="00885FE6"/>
    <w:rsid w:val="008A0245"/>
    <w:rsid w:val="008A2B2B"/>
    <w:rsid w:val="008C19A8"/>
    <w:rsid w:val="008C1D44"/>
    <w:rsid w:val="008C4F1E"/>
    <w:rsid w:val="008D4767"/>
    <w:rsid w:val="008E0206"/>
    <w:rsid w:val="008E5552"/>
    <w:rsid w:val="008F7D64"/>
    <w:rsid w:val="00903D64"/>
    <w:rsid w:val="00920C85"/>
    <w:rsid w:val="0094589E"/>
    <w:rsid w:val="00954E34"/>
    <w:rsid w:val="009733DD"/>
    <w:rsid w:val="009749D7"/>
    <w:rsid w:val="009750E0"/>
    <w:rsid w:val="00985656"/>
    <w:rsid w:val="009915C6"/>
    <w:rsid w:val="00992015"/>
    <w:rsid w:val="009943AE"/>
    <w:rsid w:val="009A281F"/>
    <w:rsid w:val="009E61D1"/>
    <w:rsid w:val="009F773B"/>
    <w:rsid w:val="00A01F1B"/>
    <w:rsid w:val="00A02E1A"/>
    <w:rsid w:val="00A06A33"/>
    <w:rsid w:val="00A2074A"/>
    <w:rsid w:val="00A20FC9"/>
    <w:rsid w:val="00A21BF1"/>
    <w:rsid w:val="00A60B80"/>
    <w:rsid w:val="00A6289C"/>
    <w:rsid w:val="00A77193"/>
    <w:rsid w:val="00A810DD"/>
    <w:rsid w:val="00A872DB"/>
    <w:rsid w:val="00A9036B"/>
    <w:rsid w:val="00A96037"/>
    <w:rsid w:val="00AB4F2C"/>
    <w:rsid w:val="00AF6923"/>
    <w:rsid w:val="00B12197"/>
    <w:rsid w:val="00B22409"/>
    <w:rsid w:val="00B33C2C"/>
    <w:rsid w:val="00B42EC5"/>
    <w:rsid w:val="00B57689"/>
    <w:rsid w:val="00B63F6E"/>
    <w:rsid w:val="00B66239"/>
    <w:rsid w:val="00B7126D"/>
    <w:rsid w:val="00B80FA1"/>
    <w:rsid w:val="00B91FB3"/>
    <w:rsid w:val="00BA00A5"/>
    <w:rsid w:val="00BA51A6"/>
    <w:rsid w:val="00BC75A4"/>
    <w:rsid w:val="00BD5910"/>
    <w:rsid w:val="00BF289C"/>
    <w:rsid w:val="00BF2D27"/>
    <w:rsid w:val="00C05600"/>
    <w:rsid w:val="00C10490"/>
    <w:rsid w:val="00C308C2"/>
    <w:rsid w:val="00C457F7"/>
    <w:rsid w:val="00C536D6"/>
    <w:rsid w:val="00C60F88"/>
    <w:rsid w:val="00C63F9A"/>
    <w:rsid w:val="00C76568"/>
    <w:rsid w:val="00C83CFE"/>
    <w:rsid w:val="00CA3182"/>
    <w:rsid w:val="00CB394B"/>
    <w:rsid w:val="00CC5291"/>
    <w:rsid w:val="00CF2086"/>
    <w:rsid w:val="00D36E4E"/>
    <w:rsid w:val="00D548EC"/>
    <w:rsid w:val="00D7342E"/>
    <w:rsid w:val="00D7443A"/>
    <w:rsid w:val="00D7664F"/>
    <w:rsid w:val="00D87675"/>
    <w:rsid w:val="00D95397"/>
    <w:rsid w:val="00DA2F7E"/>
    <w:rsid w:val="00DB365B"/>
    <w:rsid w:val="00DC29A1"/>
    <w:rsid w:val="00DC50EE"/>
    <w:rsid w:val="00DC7C1E"/>
    <w:rsid w:val="00DF622F"/>
    <w:rsid w:val="00E00945"/>
    <w:rsid w:val="00E07838"/>
    <w:rsid w:val="00E31052"/>
    <w:rsid w:val="00E35D23"/>
    <w:rsid w:val="00E55CDB"/>
    <w:rsid w:val="00E70B0A"/>
    <w:rsid w:val="00E878DA"/>
    <w:rsid w:val="00E90B27"/>
    <w:rsid w:val="00EA14B5"/>
    <w:rsid w:val="00EA5470"/>
    <w:rsid w:val="00EE681B"/>
    <w:rsid w:val="00F01B5F"/>
    <w:rsid w:val="00F15EF5"/>
    <w:rsid w:val="00F435F9"/>
    <w:rsid w:val="00F70667"/>
    <w:rsid w:val="00F81482"/>
    <w:rsid w:val="00F83C26"/>
    <w:rsid w:val="00F90887"/>
    <w:rsid w:val="00F94335"/>
    <w:rsid w:val="00F96072"/>
    <w:rsid w:val="00FC4B65"/>
    <w:rsid w:val="00FD16D8"/>
    <w:rsid w:val="00FE429E"/>
    <w:rsid w:val="00FE53FF"/>
    <w:rsid w:val="00FF1CBE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F09FD68-0793-459F-BABE-5D56204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97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9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AB"/>
    <w:pPr>
      <w:ind w:left="720"/>
      <w:contextualSpacing/>
    </w:pPr>
  </w:style>
  <w:style w:type="paragraph" w:styleId="Revision">
    <w:name w:val="Revision"/>
    <w:hidden/>
    <w:uiPriority w:val="99"/>
    <w:semiHidden/>
    <w:rsid w:val="00CF20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8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727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7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E9"/>
  </w:style>
  <w:style w:type="paragraph" w:styleId="Footer">
    <w:name w:val="footer"/>
    <w:basedOn w:val="Normal"/>
    <w:link w:val="FooterChar"/>
    <w:uiPriority w:val="99"/>
    <w:unhideWhenUsed/>
    <w:rsid w:val="000B5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E9"/>
  </w:style>
  <w:style w:type="paragraph" w:customStyle="1" w:styleId="Default">
    <w:name w:val="Default"/>
    <w:rsid w:val="00E00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970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970"/>
    <w:rPr>
      <w:rFonts w:eastAsiaTheme="majorEastAsia" w:cstheme="majorBidi"/>
      <w:b/>
      <w:bCs/>
      <w:color w:val="17365D" w:themeColor="text2" w:themeShade="BF"/>
      <w:sz w:val="20"/>
      <w:szCs w:val="26"/>
    </w:rPr>
  </w:style>
  <w:style w:type="paragraph" w:customStyle="1" w:styleId="Pa10">
    <w:name w:val="Pa10"/>
    <w:basedOn w:val="Default"/>
    <w:next w:val="Default"/>
    <w:uiPriority w:val="99"/>
    <w:rsid w:val="00E07838"/>
    <w:pPr>
      <w:spacing w:line="161" w:lineRule="atLeast"/>
    </w:pPr>
    <w:rPr>
      <w:rFonts w:ascii="HelveticaNeueLT Std Med" w:hAnsi="HelveticaNeueLT Std Med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07838"/>
    <w:pPr>
      <w:spacing w:line="241" w:lineRule="atLeast"/>
    </w:pPr>
    <w:rPr>
      <w:rFonts w:ascii="HelveticaNeueLT Std Med" w:hAnsi="HelveticaNeueLT Std Med" w:cstheme="minorBidi"/>
      <w:color w:val="auto"/>
    </w:rPr>
  </w:style>
  <w:style w:type="character" w:customStyle="1" w:styleId="A8">
    <w:name w:val="A8"/>
    <w:uiPriority w:val="99"/>
    <w:rsid w:val="00E07838"/>
    <w:rPr>
      <w:rFonts w:cs="HelveticaNeueLT Std Med"/>
      <w:color w:val="221E1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3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441">
    <w:name w:val="style441"/>
    <w:rsid w:val="007B63D6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1424009E2EC45995B2FDEB1B27D25" ma:contentTypeVersion="" ma:contentTypeDescription="Create a new document." ma:contentTypeScope="" ma:versionID="7e1c79fbe5f9c9b184984882a9bed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4F0B-4E37-431D-BB9F-1AECC7C7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02BE3-2D13-4BFD-B81B-43364A815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91A51-B04C-46BA-8DC2-243CB38B5E0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929831-1028-4E5C-817C-54EDDAC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Accrington &amp; Rossendale College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Rickard</dc:creator>
  <cp:lastModifiedBy>Sue Collinge</cp:lastModifiedBy>
  <cp:revision>2</cp:revision>
  <dcterms:created xsi:type="dcterms:W3CDTF">2017-07-17T11:32:00Z</dcterms:created>
  <dcterms:modified xsi:type="dcterms:W3CDTF">2017-07-17T11:32:00Z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0x0101005161424009E2EC45995B2FDEB1B27D25</vt:lpwstr>
  </property>
</Properties>
</file>