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9A" w:rsidRPr="00B3557C" w:rsidRDefault="001173BC">
      <w:pPr>
        <w:rPr>
          <w:b/>
          <w:sz w:val="44"/>
        </w:rPr>
      </w:pPr>
      <w:r w:rsidRPr="00B3557C">
        <w:rPr>
          <w:b/>
          <w:sz w:val="44"/>
        </w:rPr>
        <w:t>Nelson and Colne College Group</w:t>
      </w:r>
    </w:p>
    <w:p w:rsidR="001173BC" w:rsidRPr="00B3557C" w:rsidRDefault="001173BC">
      <w:pPr>
        <w:rPr>
          <w:b/>
          <w:sz w:val="24"/>
        </w:rPr>
      </w:pPr>
      <w:r w:rsidRPr="00B3557C">
        <w:rPr>
          <w:b/>
          <w:sz w:val="24"/>
        </w:rPr>
        <w:t>Higher Education Fee information 2021/22</w:t>
      </w:r>
    </w:p>
    <w:p w:rsidR="001173BC" w:rsidRPr="00A32C59" w:rsidRDefault="001173BC">
      <w:pPr>
        <w:rPr>
          <w:b/>
        </w:rPr>
      </w:pPr>
      <w:r w:rsidRPr="00A32C59">
        <w:rPr>
          <w:b/>
        </w:rPr>
        <w:t>Fees for new entrants</w:t>
      </w:r>
    </w:p>
    <w:p w:rsidR="001173BC" w:rsidRDefault="001173BC">
      <w:r>
        <w:t>Students commencing study for a new award, whether or not they had been Higher Education students of the College previously will be subject to fees as follows</w:t>
      </w:r>
      <w:r w:rsidR="009A1407">
        <w:t>.</w:t>
      </w:r>
    </w:p>
    <w:p w:rsidR="009A1407" w:rsidRDefault="00FB0994">
      <w:r>
        <w:t>P</w:t>
      </w:r>
      <w:r w:rsidR="009A1407">
        <w:t xml:space="preserve">art-time programmes are charged pro-rata for the volume of study undertaken.  For example, a first degree student undertaking 60 credits </w:t>
      </w:r>
      <w:r>
        <w:t xml:space="preserve">in 2021/22 </w:t>
      </w:r>
      <w:r w:rsidR="009A1407">
        <w:t>w</w:t>
      </w:r>
      <w:r>
        <w:t>ill</w:t>
      </w:r>
      <w:r w:rsidR="009A1407">
        <w:t xml:space="preserve"> be charged £8240 x 60 / 120 = £4120</w:t>
      </w:r>
      <w:r w:rsidR="00CB1868">
        <w:t>.</w:t>
      </w:r>
    </w:p>
    <w:p w:rsidR="00A32C59" w:rsidRDefault="00A32C59"/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502"/>
        <w:gridCol w:w="1559"/>
      </w:tblGrid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Type of programme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</w:pPr>
            <w:r>
              <w:t>Full-time</w:t>
            </w:r>
          </w:p>
          <w:p w:rsidR="009A1407" w:rsidRDefault="009A1407" w:rsidP="00CB1868">
            <w:pPr>
              <w:spacing w:after="0"/>
            </w:pPr>
            <w:r>
              <w:t>Fee</w:t>
            </w:r>
          </w:p>
        </w:tc>
        <w:tc>
          <w:tcPr>
            <w:tcW w:w="1559" w:type="dxa"/>
          </w:tcPr>
          <w:p w:rsidR="009A1407" w:rsidRDefault="009A1407" w:rsidP="00CB1868">
            <w:pPr>
              <w:spacing w:after="0"/>
            </w:pPr>
            <w:r>
              <w:t>Part-time</w:t>
            </w:r>
          </w:p>
          <w:p w:rsidR="00CB1868" w:rsidRDefault="009A1407" w:rsidP="00CB1868">
            <w:pPr>
              <w:spacing w:after="0"/>
            </w:pPr>
            <w:r>
              <w:t xml:space="preserve">Fee per </w:t>
            </w:r>
          </w:p>
          <w:p w:rsidR="009A1407" w:rsidRDefault="009A1407" w:rsidP="00CB1868">
            <w:pPr>
              <w:spacing w:after="0"/>
            </w:pPr>
            <w:r>
              <w:t>120 credits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 w:rsidRPr="001173BC">
              <w:rPr>
                <w:lang w:eastAsia="en-GB"/>
              </w:rPr>
              <w:t>Accelerated degree</w:t>
            </w:r>
            <w:r w:rsidR="00CB1868">
              <w:rPr>
                <w:lang w:eastAsia="en-GB"/>
              </w:rPr>
              <w:t>*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£9,270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Not applicable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proofErr w:type="spellStart"/>
            <w:r w:rsidRPr="001173BC">
              <w:rPr>
                <w:lang w:eastAsia="en-GB"/>
              </w:rPr>
              <w:t>CertHE</w:t>
            </w:r>
            <w:proofErr w:type="spellEnd"/>
            <w:r w:rsidRPr="001173BC">
              <w:rPr>
                <w:lang w:eastAsia="en-GB"/>
              </w:rPr>
              <w:t>/DipHE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£7,725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£8,240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 w:rsidRPr="001173BC">
              <w:rPr>
                <w:lang w:eastAsia="en-GB"/>
              </w:rPr>
              <w:t>First degree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£7,725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8,240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 w:rsidRPr="001173BC">
              <w:rPr>
                <w:lang w:eastAsia="en-GB"/>
              </w:rPr>
              <w:t>Foundation degree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£7,725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8,240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 w:rsidRPr="001173BC">
              <w:rPr>
                <w:lang w:eastAsia="en-GB"/>
              </w:rPr>
              <w:t>Foundation year/Year 0</w:t>
            </w:r>
            <w:r w:rsidR="00CB1868">
              <w:rPr>
                <w:lang w:eastAsia="en-GB"/>
              </w:rPr>
              <w:t>*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£7,725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8,240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 w:rsidRPr="001173BC">
              <w:rPr>
                <w:lang w:eastAsia="en-GB"/>
              </w:rPr>
              <w:t>HNC/HND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£7,725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8,240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 w:rsidRPr="001173BC">
              <w:rPr>
                <w:lang w:eastAsia="en-GB"/>
              </w:rPr>
              <w:t>Postgraduate ITT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£7,725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8,240</w:t>
            </w:r>
          </w:p>
        </w:tc>
      </w:tr>
      <w:tr w:rsidR="009A1407" w:rsidRPr="001173BC" w:rsidTr="00A32C59">
        <w:trPr>
          <w:jc w:val="center"/>
        </w:trPr>
        <w:tc>
          <w:tcPr>
            <w:tcW w:w="3880" w:type="dxa"/>
            <w:shd w:val="clear" w:color="auto" w:fill="auto"/>
            <w:hideMark/>
          </w:tcPr>
          <w:p w:rsidR="009A1407" w:rsidRPr="001173BC" w:rsidRDefault="009A1407" w:rsidP="00CB1868">
            <w:pPr>
              <w:spacing w:after="0"/>
              <w:rPr>
                <w:lang w:eastAsia="en-GB"/>
              </w:rPr>
            </w:pPr>
            <w:r w:rsidRPr="001173BC">
              <w:rPr>
                <w:lang w:eastAsia="en-GB"/>
              </w:rPr>
              <w:t>Sandwich year</w:t>
            </w:r>
            <w:r w:rsidR="00CB1868">
              <w:rPr>
                <w:lang w:eastAsia="en-GB"/>
              </w:rPr>
              <w:t>*</w:t>
            </w:r>
          </w:p>
        </w:tc>
        <w:tc>
          <w:tcPr>
            <w:tcW w:w="1502" w:type="dxa"/>
            <w:shd w:val="clear" w:color="auto" w:fill="auto"/>
          </w:tcPr>
          <w:p w:rsidR="009A1407" w:rsidRDefault="009A1407" w:rsidP="00CB1868">
            <w:pPr>
              <w:spacing w:after="0"/>
              <w:jc w:val="center"/>
            </w:pPr>
            <w:r>
              <w:t>£1,545</w:t>
            </w:r>
          </w:p>
        </w:tc>
        <w:tc>
          <w:tcPr>
            <w:tcW w:w="1559" w:type="dxa"/>
          </w:tcPr>
          <w:p w:rsidR="009A1407" w:rsidRDefault="00CB1868" w:rsidP="00CB1868">
            <w:pPr>
              <w:spacing w:after="0"/>
              <w:jc w:val="center"/>
            </w:pPr>
            <w:r>
              <w:t>Not applicable</w:t>
            </w:r>
          </w:p>
        </w:tc>
      </w:tr>
    </w:tbl>
    <w:p w:rsidR="00CB1868" w:rsidRDefault="00CB1868" w:rsidP="00A32C59">
      <w:pPr>
        <w:jc w:val="center"/>
      </w:pPr>
      <w:r>
        <w:t>* The College does not currently offer programmes of these types</w:t>
      </w:r>
    </w:p>
    <w:p w:rsidR="00A32C59" w:rsidRDefault="00A32C59" w:rsidP="00CB1868"/>
    <w:p w:rsidR="00B3557C" w:rsidRPr="00A32C59" w:rsidRDefault="00A32C59" w:rsidP="00CB1868">
      <w:pPr>
        <w:rPr>
          <w:b/>
        </w:rPr>
      </w:pPr>
      <w:r w:rsidRPr="00A32C59">
        <w:rPr>
          <w:b/>
        </w:rPr>
        <w:t>Fees for continuing students</w:t>
      </w:r>
    </w:p>
    <w:p w:rsidR="00A32C59" w:rsidRDefault="00A32C59" w:rsidP="00CB1868">
      <w:r>
        <w:t>With the exception of any students covered by the paragraph below, fees for continuing students are the same as for new entrants.</w:t>
      </w:r>
    </w:p>
    <w:p w:rsidR="00CB1868" w:rsidRDefault="00A32C59" w:rsidP="00CB1868">
      <w:r>
        <w:t>S</w:t>
      </w:r>
      <w:r w:rsidR="00CB1868">
        <w:t xml:space="preserve">tudents who </w:t>
      </w:r>
      <w:r w:rsidR="00B3557C">
        <w:t>began their studies on their current programmes in 2017/18 or before will be entitled to be charged a lower rate.  This rate is £6</w:t>
      </w:r>
      <w:r>
        <w:t>,</w:t>
      </w:r>
      <w:r w:rsidR="00B3557C">
        <w:t>165 for full-time study (120 credits) and is charged pro-rata for part-time study.</w:t>
      </w:r>
    </w:p>
    <w:p w:rsidR="00CB1868" w:rsidRDefault="00CB1868" w:rsidP="00CB1868"/>
    <w:p w:rsidR="00FB0994" w:rsidRPr="00FB0994" w:rsidRDefault="00FB0994" w:rsidP="00CB1868">
      <w:pPr>
        <w:rPr>
          <w:b/>
        </w:rPr>
      </w:pPr>
      <w:r w:rsidRPr="00FB0994">
        <w:rPr>
          <w:b/>
        </w:rPr>
        <w:t>Future years</w:t>
      </w:r>
    </w:p>
    <w:p w:rsidR="00A2473D" w:rsidRDefault="00FB0994" w:rsidP="00CB1868">
      <w:r>
        <w:t>The College’s Access and Participation plan allows fees to be increased by RPIX</w:t>
      </w:r>
      <w:r w:rsidR="00A2473D">
        <w:rPr>
          <w:rStyle w:val="FootnoteReference"/>
        </w:rPr>
        <w:footnoteReference w:id="1"/>
      </w:r>
      <w:r>
        <w:t xml:space="preserve"> (Retail Price Index excluding mortgage interest) during your studies.  Your fees will not rise by more</w:t>
      </w:r>
      <w:r w:rsidR="00127B2E">
        <w:t xml:space="preserve"> than RPIX during your studies on any programme for which you are registered in 2021/22.  </w:t>
      </w:r>
    </w:p>
    <w:p w:rsidR="00047F85" w:rsidRDefault="00047F85" w:rsidP="00CB1868">
      <w:r>
        <w:t>This guarantee applies to students’ current courses only, the College reviews fees annually and reserves the right to change fees for entrants to new programmes</w:t>
      </w:r>
      <w:r w:rsidR="00A2473D">
        <w:t xml:space="preserve"> in future years</w:t>
      </w:r>
      <w:bookmarkStart w:id="0" w:name="_GoBack"/>
      <w:bookmarkEnd w:id="0"/>
      <w:r>
        <w:t>.</w:t>
      </w:r>
      <w:r w:rsidR="00A2473D">
        <w:t xml:space="preserve">  </w:t>
      </w:r>
    </w:p>
    <w:p w:rsidR="00CB1868" w:rsidRDefault="00CB1868" w:rsidP="00CB1868"/>
    <w:sectPr w:rsidR="00CB1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3D" w:rsidRDefault="00A2473D" w:rsidP="00A2473D">
      <w:pPr>
        <w:spacing w:after="0" w:line="240" w:lineRule="auto"/>
      </w:pPr>
      <w:r>
        <w:separator/>
      </w:r>
    </w:p>
  </w:endnote>
  <w:endnote w:type="continuationSeparator" w:id="0">
    <w:p w:rsidR="00A2473D" w:rsidRDefault="00A2473D" w:rsidP="00A2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3D" w:rsidRDefault="00A2473D" w:rsidP="00A2473D">
      <w:pPr>
        <w:spacing w:after="0" w:line="240" w:lineRule="auto"/>
      </w:pPr>
      <w:r>
        <w:separator/>
      </w:r>
    </w:p>
  </w:footnote>
  <w:footnote w:type="continuationSeparator" w:id="0">
    <w:p w:rsidR="00A2473D" w:rsidRDefault="00A2473D" w:rsidP="00A2473D">
      <w:pPr>
        <w:spacing w:after="0" w:line="240" w:lineRule="auto"/>
      </w:pPr>
      <w:r>
        <w:continuationSeparator/>
      </w:r>
    </w:p>
  </w:footnote>
  <w:footnote w:id="1">
    <w:p w:rsidR="00A2473D" w:rsidRDefault="00A2473D" w:rsidP="00A2473D">
      <w:r w:rsidRPr="00A2473D">
        <w:rPr>
          <w:rStyle w:val="FootnoteReference"/>
          <w:sz w:val="16"/>
        </w:rPr>
        <w:footnoteRef/>
      </w:r>
      <w:r w:rsidRPr="00A2473D">
        <w:rPr>
          <w:sz w:val="16"/>
        </w:rPr>
        <w:t xml:space="preserve"> </w:t>
      </w:r>
      <w:r w:rsidRPr="00A2473D">
        <w:rPr>
          <w:sz w:val="16"/>
        </w:rPr>
        <w:t xml:space="preserve">For your information, the Office for Budget Responsibility predicts that inflation will be 2% </w:t>
      </w:r>
      <w:r>
        <w:rPr>
          <w:sz w:val="16"/>
        </w:rPr>
        <w:t xml:space="preserve">or less </w:t>
      </w:r>
      <w:r w:rsidRPr="00A2473D">
        <w:rPr>
          <w:sz w:val="16"/>
        </w:rPr>
        <w:t xml:space="preserve">throughout </w:t>
      </w:r>
      <w:r w:rsidRPr="00A2473D">
        <w:rPr>
          <w:sz w:val="16"/>
        </w:rPr>
        <w:t>the period 2021-2025.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07A7"/>
    <w:multiLevelType w:val="hybridMultilevel"/>
    <w:tmpl w:val="2BD278A0"/>
    <w:lvl w:ilvl="0" w:tplc="A29011E6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BC"/>
    <w:rsid w:val="00047F85"/>
    <w:rsid w:val="001173BC"/>
    <w:rsid w:val="00127B2E"/>
    <w:rsid w:val="0060099A"/>
    <w:rsid w:val="009A1407"/>
    <w:rsid w:val="00A2473D"/>
    <w:rsid w:val="00A32C59"/>
    <w:rsid w:val="00B3557C"/>
    <w:rsid w:val="00CB1868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6D64"/>
  <w15:chartTrackingRefBased/>
  <w15:docId w15:val="{4A15E879-02E5-4BCE-BD75-86D8E9D5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47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7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676D-B48A-4275-8654-DFD49FB1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&amp; Colne College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Wright</dc:creator>
  <cp:keywords/>
  <dc:description/>
  <cp:lastModifiedBy>Steve Wright</cp:lastModifiedBy>
  <cp:revision>1</cp:revision>
  <dcterms:created xsi:type="dcterms:W3CDTF">2021-03-15T09:16:00Z</dcterms:created>
  <dcterms:modified xsi:type="dcterms:W3CDTF">2021-03-15T09:47:00Z</dcterms:modified>
</cp:coreProperties>
</file>